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6BE38" w14:textId="58DC3C9D" w:rsidR="00BA65F2" w:rsidRPr="00365BDF" w:rsidRDefault="00BA65F2" w:rsidP="00DD0D2A">
      <w:pPr>
        <w:spacing w:line="276" w:lineRule="auto"/>
        <w:jc w:val="both"/>
        <w:rPr>
          <w:rFonts w:ascii="Nirmala UI" w:hAnsi="Nirmala UI" w:cs="Nirmala UI"/>
          <w:b/>
          <w:bCs/>
          <w:caps/>
          <w:color w:val="000000"/>
        </w:rPr>
      </w:pPr>
      <w:bookmarkStart w:id="0" w:name="_GoBack"/>
      <w:bookmarkEnd w:id="0"/>
    </w:p>
    <w:p w14:paraId="140E3DD0" w14:textId="77777777" w:rsidR="00BA65F2" w:rsidRPr="00365BDF" w:rsidRDefault="00BA65F2" w:rsidP="00DD0D2A">
      <w:pPr>
        <w:spacing w:line="276" w:lineRule="auto"/>
        <w:jc w:val="both"/>
        <w:rPr>
          <w:rFonts w:ascii="Nirmala UI" w:hAnsi="Nirmala UI" w:cs="Nirmala UI"/>
          <w:b/>
          <w:bCs/>
          <w:caps/>
          <w:color w:val="000000"/>
        </w:rPr>
      </w:pPr>
    </w:p>
    <w:p w14:paraId="110445A6" w14:textId="63A2198A" w:rsidR="00BA65F2" w:rsidRPr="00365BDF" w:rsidRDefault="00BA65F2" w:rsidP="00DD0D2A">
      <w:pPr>
        <w:spacing w:line="276" w:lineRule="auto"/>
        <w:jc w:val="both"/>
        <w:rPr>
          <w:rFonts w:ascii="Nirmala UI" w:hAnsi="Nirmala UI" w:cs="Nirmala UI"/>
          <w:b/>
          <w:bCs/>
          <w:caps/>
          <w:color w:val="000000"/>
        </w:rPr>
      </w:pPr>
    </w:p>
    <w:p w14:paraId="5CBAA07E" w14:textId="77777777" w:rsidR="001959F0" w:rsidRPr="00365BDF" w:rsidRDefault="001959F0" w:rsidP="00DD0D2A">
      <w:pPr>
        <w:spacing w:line="276" w:lineRule="auto"/>
        <w:jc w:val="both"/>
        <w:rPr>
          <w:rFonts w:ascii="Nirmala UI" w:hAnsi="Nirmala UI" w:cs="Nirmala UI"/>
          <w:b/>
          <w:bCs/>
          <w:caps/>
          <w:color w:val="000000"/>
        </w:rPr>
      </w:pPr>
    </w:p>
    <w:p w14:paraId="0C47234D" w14:textId="5BCD6140" w:rsidR="00BA65F2" w:rsidRDefault="00BA65F2" w:rsidP="00DD0D2A">
      <w:pPr>
        <w:spacing w:line="276" w:lineRule="auto"/>
        <w:jc w:val="both"/>
        <w:rPr>
          <w:rFonts w:ascii="Nirmala UI" w:hAnsi="Nirmala UI" w:cs="Nirmala UI"/>
          <w:b/>
          <w:bCs/>
          <w:caps/>
          <w:color w:val="000000"/>
        </w:rPr>
      </w:pPr>
    </w:p>
    <w:p w14:paraId="7118C670" w14:textId="77777777" w:rsidR="009F4D75" w:rsidRPr="00365BDF" w:rsidRDefault="009F4D75" w:rsidP="00DD0D2A">
      <w:pPr>
        <w:spacing w:line="276" w:lineRule="auto"/>
        <w:jc w:val="both"/>
        <w:rPr>
          <w:rFonts w:ascii="Nirmala UI" w:hAnsi="Nirmala UI" w:cs="Nirmala UI"/>
          <w:b/>
          <w:bCs/>
          <w:caps/>
          <w:color w:val="000000"/>
        </w:rPr>
      </w:pPr>
    </w:p>
    <w:p w14:paraId="4160A40A" w14:textId="6D95A1FB" w:rsidR="00BA65F2" w:rsidRPr="00365BDF" w:rsidRDefault="0056607C" w:rsidP="001959F0">
      <w:pPr>
        <w:spacing w:line="276" w:lineRule="auto"/>
        <w:jc w:val="both"/>
        <w:rPr>
          <w:rFonts w:ascii="Nirmala UI" w:hAnsi="Nirmala UI" w:cs="Nirmala UI"/>
          <w:b/>
          <w:bCs/>
          <w:caps/>
          <w:color w:val="000000"/>
        </w:rPr>
      </w:pPr>
      <w:r w:rsidRPr="00365BDF">
        <w:rPr>
          <w:rFonts w:ascii="Nirmala UI" w:hAnsi="Nirmala UI" w:cs="Nirmala UI"/>
          <w:b/>
          <w:bCs/>
          <w:caps/>
          <w:color w:val="000000"/>
        </w:rPr>
        <w:t>Convenio entre la secretaría de estado de turismo</w:t>
      </w:r>
      <w:r w:rsidR="008253B9" w:rsidRPr="00365BDF">
        <w:rPr>
          <w:rFonts w:ascii="Nirmala UI" w:hAnsi="Nirmala UI" w:cs="Nirmala UI"/>
          <w:b/>
          <w:bCs/>
          <w:caps/>
          <w:color w:val="000000"/>
        </w:rPr>
        <w:t xml:space="preserve"> DEL MINISTERIO DE IN</w:t>
      </w:r>
      <w:r w:rsidR="001D5054">
        <w:rPr>
          <w:rFonts w:ascii="Nirmala UI" w:hAnsi="Nirmala UI" w:cs="Nirmala UI"/>
          <w:b/>
          <w:bCs/>
          <w:caps/>
          <w:color w:val="000000"/>
        </w:rPr>
        <w:t>DUSTRIA, COMERCIO Y TURISMO,</w:t>
      </w:r>
      <w:r w:rsidR="00FA38D5">
        <w:rPr>
          <w:rFonts w:ascii="Nirmala UI" w:hAnsi="Nirmala UI" w:cs="Nirmala UI"/>
          <w:b/>
          <w:bCs/>
          <w:caps/>
          <w:color w:val="000000"/>
        </w:rPr>
        <w:t xml:space="preserve"> LA CONSEJERÍA DE TURISMO, INDUSTRIA Y COMERCIO D</w:t>
      </w:r>
      <w:r w:rsidR="001D5054">
        <w:rPr>
          <w:rFonts w:ascii="Nirmala UI" w:hAnsi="Nirmala UI" w:cs="Nirmala UI"/>
          <w:b/>
          <w:bCs/>
          <w:caps/>
          <w:color w:val="000000"/>
        </w:rPr>
        <w:t>EL GOBIERNO DE CANARIAS Y EL CABILDO DE GRAN CANARIA</w:t>
      </w:r>
      <w:r w:rsidRPr="00365BDF">
        <w:rPr>
          <w:rFonts w:ascii="Nirmala UI" w:hAnsi="Nirmala UI" w:cs="Nirmala UI"/>
          <w:b/>
          <w:bCs/>
          <w:caps/>
          <w:color w:val="000000"/>
        </w:rPr>
        <w:t>, para la ejecución del plan</w:t>
      </w:r>
      <w:r w:rsidR="00A07946">
        <w:rPr>
          <w:rFonts w:ascii="Nirmala UI" w:hAnsi="Nirmala UI" w:cs="Nirmala UI"/>
          <w:b/>
          <w:bCs/>
          <w:caps/>
          <w:color w:val="000000"/>
        </w:rPr>
        <w:t xml:space="preserve"> de sostenibilidad turística</w:t>
      </w:r>
      <w:r w:rsidR="00526AFB" w:rsidRPr="00526AFB">
        <w:rPr>
          <w:rFonts w:ascii="Nirmala UI" w:hAnsi="Nirmala UI" w:cs="Nirmala UI"/>
          <w:b/>
          <w:bCs/>
          <w:caps/>
          <w:color w:val="000000"/>
        </w:rPr>
        <w:t xml:space="preserve"> de Patrimonio Mundial y Reserva de la Biosfera de Gran Canaria.</w:t>
      </w:r>
    </w:p>
    <w:p w14:paraId="0734C94A" w14:textId="39CCDD41" w:rsidR="001959F0" w:rsidRDefault="001959F0" w:rsidP="00BA65F2">
      <w:pPr>
        <w:tabs>
          <w:tab w:val="left" w:pos="2268"/>
        </w:tabs>
        <w:spacing w:line="276" w:lineRule="auto"/>
        <w:jc w:val="both"/>
        <w:rPr>
          <w:rFonts w:ascii="Nirmala UI" w:hAnsi="Nirmala UI" w:cs="Nirmala UI"/>
          <w:b/>
          <w:bCs/>
          <w:caps/>
          <w:color w:val="000000"/>
        </w:rPr>
      </w:pPr>
    </w:p>
    <w:p w14:paraId="0350E95F" w14:textId="77777777" w:rsidR="009F4D75" w:rsidRPr="00365BDF" w:rsidRDefault="009F4D75" w:rsidP="00BA65F2">
      <w:pPr>
        <w:tabs>
          <w:tab w:val="left" w:pos="2268"/>
        </w:tabs>
        <w:spacing w:line="276" w:lineRule="auto"/>
        <w:jc w:val="both"/>
        <w:rPr>
          <w:rFonts w:ascii="Nirmala UI" w:hAnsi="Nirmala UI" w:cs="Nirmala UI"/>
          <w:b/>
          <w:bCs/>
          <w:caps/>
          <w:color w:val="000000"/>
        </w:rPr>
      </w:pPr>
    </w:p>
    <w:tbl>
      <w:tblPr>
        <w:tblStyle w:val="Tablaconcuadrcula"/>
        <w:tblW w:w="60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82"/>
      </w:tblGrid>
      <w:tr w:rsidR="0042328D" w:rsidRPr="00365BDF" w14:paraId="51BEFF97" w14:textId="77777777" w:rsidTr="00BA65F2">
        <w:trPr>
          <w:trHeight w:val="1426"/>
          <w:jc w:val="center"/>
        </w:trPr>
        <w:tc>
          <w:tcPr>
            <w:tcW w:w="6082" w:type="dxa"/>
          </w:tcPr>
          <w:p w14:paraId="5FC4047C" w14:textId="77777777" w:rsidR="0042328D" w:rsidRDefault="00756885" w:rsidP="0042328D">
            <w:pPr>
              <w:spacing w:line="360" w:lineRule="auto"/>
              <w:jc w:val="center"/>
              <w:rPr>
                <w:rFonts w:ascii="Nirmala UI" w:hAnsi="Nirmala UI" w:cs="Nirmala UI"/>
                <w:sz w:val="22"/>
                <w:szCs w:val="22"/>
              </w:rPr>
            </w:pPr>
            <w:r>
              <w:rPr>
                <w:noProof/>
              </w:rPr>
              <w:drawing>
                <wp:inline distT="0" distB="0" distL="0" distR="0" wp14:anchorId="3A16A2DF" wp14:editId="3B6FEF92">
                  <wp:extent cx="3400425" cy="733425"/>
                  <wp:effectExtent l="0" t="0" r="9525" b="9525"/>
                  <wp:docPr id="5" name="Imagen 5" descr="H:\01 TAREAS\2020_0207 PLANES SOSTENIBILIDAD\TRAMITACIÓN PLANES\Convenios singularizados\Aragón\Logos\Logo MINCOTUR.jpg"/>
                  <wp:cNvGraphicFramePr/>
                  <a:graphic xmlns:a="http://schemas.openxmlformats.org/drawingml/2006/main">
                    <a:graphicData uri="http://schemas.openxmlformats.org/drawingml/2006/picture">
                      <pic:pic xmlns:pic="http://schemas.openxmlformats.org/drawingml/2006/picture">
                        <pic:nvPicPr>
                          <pic:cNvPr id="5" name="Imagen 5" descr="H:\01 TAREAS\2020_0207 PLANES SOSTENIBILIDAD\TRAMITACIÓN PLANES\Convenios singularizados\Aragón\Logos\Logo MINCOT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0425" cy="733425"/>
                          </a:xfrm>
                          <a:prstGeom prst="rect">
                            <a:avLst/>
                          </a:prstGeom>
                          <a:noFill/>
                          <a:ln>
                            <a:noFill/>
                          </a:ln>
                        </pic:spPr>
                      </pic:pic>
                    </a:graphicData>
                  </a:graphic>
                </wp:inline>
              </w:drawing>
            </w:r>
          </w:p>
          <w:p w14:paraId="17428AE5" w14:textId="190E9703" w:rsidR="002F40AC" w:rsidRPr="00365BDF" w:rsidRDefault="002F40AC" w:rsidP="0042328D">
            <w:pPr>
              <w:spacing w:line="360" w:lineRule="auto"/>
              <w:jc w:val="center"/>
              <w:rPr>
                <w:rFonts w:ascii="Nirmala UI" w:hAnsi="Nirmala UI" w:cs="Nirmala UI"/>
                <w:sz w:val="22"/>
                <w:szCs w:val="22"/>
              </w:rPr>
            </w:pPr>
          </w:p>
        </w:tc>
      </w:tr>
      <w:tr w:rsidR="0042328D" w:rsidRPr="00365BDF" w14:paraId="66E77CC6" w14:textId="77777777" w:rsidTr="001D5054">
        <w:trPr>
          <w:trHeight w:val="1286"/>
          <w:jc w:val="center"/>
        </w:trPr>
        <w:tc>
          <w:tcPr>
            <w:tcW w:w="6082" w:type="dxa"/>
          </w:tcPr>
          <w:p w14:paraId="276026FD" w14:textId="144F8D76" w:rsidR="0042328D" w:rsidRPr="00365BDF" w:rsidRDefault="002F40AC" w:rsidP="0042328D">
            <w:pPr>
              <w:spacing w:line="360" w:lineRule="auto"/>
              <w:jc w:val="center"/>
              <w:rPr>
                <w:rFonts w:ascii="Nirmala UI" w:hAnsi="Nirmala UI" w:cs="Nirmala UI"/>
                <w:sz w:val="22"/>
                <w:szCs w:val="22"/>
              </w:rPr>
            </w:pPr>
            <w:r>
              <w:rPr>
                <w:noProof/>
              </w:rPr>
              <w:drawing>
                <wp:inline distT="0" distB="0" distL="0" distR="0" wp14:anchorId="19B44C4D" wp14:editId="34DFF82C">
                  <wp:extent cx="1521460" cy="989330"/>
                  <wp:effectExtent l="0" t="0" r="2540" b="127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460" cy="989330"/>
                          </a:xfrm>
                          <a:prstGeom prst="rect">
                            <a:avLst/>
                          </a:prstGeom>
                          <a:noFill/>
                          <a:ln>
                            <a:noFill/>
                          </a:ln>
                        </pic:spPr>
                      </pic:pic>
                    </a:graphicData>
                  </a:graphic>
                </wp:inline>
              </w:drawing>
            </w:r>
          </w:p>
          <w:p w14:paraId="2EC4774D" w14:textId="7A876F39" w:rsidR="00BA65F2" w:rsidRPr="00365BDF" w:rsidRDefault="00BA65F2" w:rsidP="00116BC6">
            <w:pPr>
              <w:spacing w:line="360" w:lineRule="auto"/>
              <w:jc w:val="center"/>
              <w:rPr>
                <w:rFonts w:ascii="Nirmala UI" w:hAnsi="Nirmala UI" w:cs="Nirmala UI"/>
                <w:sz w:val="22"/>
                <w:szCs w:val="22"/>
              </w:rPr>
            </w:pPr>
          </w:p>
        </w:tc>
      </w:tr>
      <w:tr w:rsidR="0042328D" w:rsidRPr="00365BDF" w14:paraId="74944D78" w14:textId="77777777" w:rsidTr="00BA65F2">
        <w:trPr>
          <w:trHeight w:val="1286"/>
          <w:jc w:val="center"/>
        </w:trPr>
        <w:tc>
          <w:tcPr>
            <w:tcW w:w="6082" w:type="dxa"/>
          </w:tcPr>
          <w:p w14:paraId="000ED7DF" w14:textId="208E85D4" w:rsidR="0042328D" w:rsidRPr="00365BDF" w:rsidRDefault="001D5054" w:rsidP="0042328D">
            <w:pPr>
              <w:spacing w:line="360" w:lineRule="auto"/>
              <w:jc w:val="center"/>
              <w:rPr>
                <w:rFonts w:ascii="Nirmala UI" w:hAnsi="Nirmala UI" w:cs="Nirmala UI"/>
                <w:sz w:val="22"/>
                <w:szCs w:val="22"/>
              </w:rPr>
            </w:pPr>
            <w:r w:rsidRPr="001D5054">
              <w:rPr>
                <w:rFonts w:ascii="Nirmala UI" w:hAnsi="Nirmala UI" w:cs="Nirmala UI"/>
                <w:noProof/>
              </w:rPr>
              <w:drawing>
                <wp:anchor distT="0" distB="0" distL="114300" distR="114300" simplePos="0" relativeHeight="251663360" behindDoc="0" locked="0" layoutInCell="1" allowOverlap="1" wp14:anchorId="11D59AA4" wp14:editId="03D0276B">
                  <wp:simplePos x="0" y="0"/>
                  <wp:positionH relativeFrom="column">
                    <wp:posOffset>1939935</wp:posOffset>
                  </wp:positionH>
                  <wp:positionV relativeFrom="paragraph">
                    <wp:posOffset>95885</wp:posOffset>
                  </wp:positionV>
                  <wp:extent cx="1666875" cy="846460"/>
                  <wp:effectExtent l="0" t="0" r="0" b="0"/>
                  <wp:wrapThrough wrapText="bothSides">
                    <wp:wrapPolygon edited="0">
                      <wp:start x="0" y="0"/>
                      <wp:lineTo x="0" y="20903"/>
                      <wp:lineTo x="21230" y="20903"/>
                      <wp:lineTo x="21230" y="0"/>
                      <wp:lineTo x="0" y="0"/>
                    </wp:wrapPolygon>
                  </wp:wrapThrough>
                  <wp:docPr id="4" name="Imagen 4" descr="H:\01 TAREAS\2020_0207 PLANES SOSTENIBILIDAD\TRAMITACIÓN PLANES\Convenios singularizados\Canaria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TAREAS\2020_0207 PLANES SOSTENIBILIDAD\TRAMITACIÓN PLANES\Convenios singularizados\Canarias\unnam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846460"/>
                          </a:xfrm>
                          <a:prstGeom prst="rect">
                            <a:avLst/>
                          </a:prstGeom>
                          <a:noFill/>
                          <a:ln>
                            <a:noFill/>
                          </a:ln>
                        </pic:spPr>
                      </pic:pic>
                    </a:graphicData>
                  </a:graphic>
                </wp:anchor>
              </w:drawing>
            </w:r>
            <w:r w:rsidRPr="001D5054">
              <w:rPr>
                <w:rFonts w:ascii="Nirmala UI" w:hAnsi="Nirmala UI" w:cs="Nirmala UI"/>
                <w:noProof/>
              </w:rPr>
              <w:drawing>
                <wp:anchor distT="0" distB="0" distL="114300" distR="114300" simplePos="0" relativeHeight="251662336" behindDoc="0" locked="0" layoutInCell="1" allowOverlap="1" wp14:anchorId="0D0188DE" wp14:editId="3DA6582C">
                  <wp:simplePos x="0" y="0"/>
                  <wp:positionH relativeFrom="column">
                    <wp:posOffset>673100</wp:posOffset>
                  </wp:positionH>
                  <wp:positionV relativeFrom="paragraph">
                    <wp:posOffset>92075</wp:posOffset>
                  </wp:positionV>
                  <wp:extent cx="1038225" cy="850265"/>
                  <wp:effectExtent l="0" t="0" r="9525" b="6985"/>
                  <wp:wrapThrough wrapText="bothSides">
                    <wp:wrapPolygon edited="0">
                      <wp:start x="0" y="0"/>
                      <wp:lineTo x="0" y="21294"/>
                      <wp:lineTo x="21402" y="21294"/>
                      <wp:lineTo x="21402" y="0"/>
                      <wp:lineTo x="0" y="0"/>
                    </wp:wrapPolygon>
                  </wp:wrapThrough>
                  <wp:docPr id="2" name="Imagen 2" descr="H:\01 TAREAS\2020_0207 PLANES SOSTENIBILIDAD\TRAMITACIÓN PLANES\Convenios singularizados\Canarias\GC.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 TAREAS\2020_0207 PLANES SOSTENIBILIDAD\TRAMITACIÓN PLANES\Convenios singularizados\Canarias\GC.jf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850265"/>
                          </a:xfrm>
                          <a:prstGeom prst="rect">
                            <a:avLst/>
                          </a:prstGeom>
                          <a:noFill/>
                          <a:ln>
                            <a:noFill/>
                          </a:ln>
                        </pic:spPr>
                      </pic:pic>
                    </a:graphicData>
                  </a:graphic>
                  <wp14:sizeRelH relativeFrom="margin">
                    <wp14:pctWidth>0</wp14:pctWidth>
                  </wp14:sizeRelH>
                </wp:anchor>
              </w:drawing>
            </w:r>
          </w:p>
          <w:p w14:paraId="2B5327F2" w14:textId="77777777" w:rsidR="0042328D" w:rsidRDefault="0042328D" w:rsidP="0042328D">
            <w:pPr>
              <w:spacing w:line="360" w:lineRule="auto"/>
              <w:jc w:val="center"/>
              <w:rPr>
                <w:rFonts w:ascii="Nirmala UI" w:hAnsi="Nirmala UI" w:cs="Nirmala UI"/>
                <w:sz w:val="22"/>
                <w:szCs w:val="22"/>
              </w:rPr>
            </w:pPr>
          </w:p>
          <w:p w14:paraId="3FFC207F" w14:textId="77777777" w:rsidR="001D5054" w:rsidRDefault="001D5054" w:rsidP="0042328D">
            <w:pPr>
              <w:spacing w:line="360" w:lineRule="auto"/>
              <w:jc w:val="center"/>
              <w:rPr>
                <w:rFonts w:ascii="Nirmala UI" w:hAnsi="Nirmala UI" w:cs="Nirmala UI"/>
                <w:sz w:val="22"/>
                <w:szCs w:val="22"/>
              </w:rPr>
            </w:pPr>
          </w:p>
          <w:p w14:paraId="59AA9331" w14:textId="2763F008" w:rsidR="001D5054" w:rsidRPr="00365BDF" w:rsidRDefault="001D5054" w:rsidP="0042328D">
            <w:pPr>
              <w:spacing w:line="360" w:lineRule="auto"/>
              <w:jc w:val="center"/>
              <w:rPr>
                <w:rFonts w:ascii="Nirmala UI" w:hAnsi="Nirmala UI" w:cs="Nirmala UI"/>
                <w:sz w:val="22"/>
                <w:szCs w:val="22"/>
              </w:rPr>
            </w:pPr>
          </w:p>
        </w:tc>
      </w:tr>
    </w:tbl>
    <w:p w14:paraId="3C8752F7" w14:textId="2E869404" w:rsidR="0042328D" w:rsidRPr="00365BDF" w:rsidRDefault="0042328D" w:rsidP="00DD0D2A">
      <w:pPr>
        <w:spacing w:line="276" w:lineRule="auto"/>
        <w:jc w:val="both"/>
        <w:rPr>
          <w:rFonts w:ascii="Nirmala UI" w:hAnsi="Nirmala UI" w:cs="Nirmala UI"/>
          <w:b/>
          <w:bCs/>
          <w:caps/>
          <w:color w:val="000000"/>
        </w:rPr>
      </w:pPr>
    </w:p>
    <w:p w14:paraId="7BE91F76" w14:textId="35F7D8DB" w:rsidR="0042328D" w:rsidRDefault="0042328D" w:rsidP="00DD0D2A">
      <w:pPr>
        <w:spacing w:line="276" w:lineRule="auto"/>
        <w:jc w:val="both"/>
        <w:rPr>
          <w:rFonts w:ascii="Nirmala UI" w:hAnsi="Nirmala UI" w:cs="Nirmala UI"/>
          <w:b/>
          <w:bCs/>
          <w:caps/>
          <w:color w:val="000000"/>
        </w:rPr>
      </w:pPr>
    </w:p>
    <w:p w14:paraId="00471A69" w14:textId="77777777" w:rsidR="00624452" w:rsidRDefault="00624452" w:rsidP="00DD0D2A">
      <w:pPr>
        <w:spacing w:line="276" w:lineRule="auto"/>
        <w:jc w:val="both"/>
        <w:rPr>
          <w:rFonts w:ascii="Nirmala UI" w:hAnsi="Nirmala UI" w:cs="Nirmala UI"/>
          <w:b/>
          <w:bCs/>
          <w:caps/>
          <w:color w:val="000000"/>
        </w:rPr>
      </w:pPr>
    </w:p>
    <w:p w14:paraId="08C4C8CD" w14:textId="77777777" w:rsidR="009F4D75" w:rsidRPr="00365BDF" w:rsidRDefault="009F4D75" w:rsidP="00DD0D2A">
      <w:pPr>
        <w:spacing w:line="276" w:lineRule="auto"/>
        <w:jc w:val="both"/>
        <w:rPr>
          <w:rFonts w:ascii="Nirmala UI" w:hAnsi="Nirmala UI" w:cs="Nirmala UI"/>
          <w:b/>
          <w:bCs/>
          <w:caps/>
          <w:color w:val="000000"/>
        </w:rPr>
      </w:pPr>
    </w:p>
    <w:p w14:paraId="0A40CC89" w14:textId="0CB7CAB8" w:rsidR="009F4D75" w:rsidRDefault="009F4D75">
      <w:pPr>
        <w:rPr>
          <w:rFonts w:ascii="Nirmala UI" w:hAnsi="Nirmala UI" w:cs="Nirmala UI"/>
          <w:b/>
          <w:bCs/>
          <w:caps/>
          <w:color w:val="000000"/>
        </w:rPr>
      </w:pPr>
      <w:r>
        <w:rPr>
          <w:rFonts w:ascii="Nirmala UI" w:hAnsi="Nirmala UI" w:cs="Nirmala UI"/>
          <w:b/>
          <w:bCs/>
          <w:caps/>
          <w:color w:val="000000"/>
        </w:rPr>
        <w:br w:type="page"/>
      </w:r>
    </w:p>
    <w:p w14:paraId="1484D5A8" w14:textId="69AABFDE" w:rsidR="0056607C" w:rsidRPr="00365BDF" w:rsidRDefault="0042328D" w:rsidP="0056607C">
      <w:pPr>
        <w:pStyle w:val="Pa6"/>
        <w:rPr>
          <w:rFonts w:ascii="Nirmala UI" w:hAnsi="Nirmala UI" w:cs="Nirmala UI"/>
          <w:color w:val="000000"/>
          <w:sz w:val="22"/>
          <w:szCs w:val="22"/>
        </w:rPr>
      </w:pPr>
      <w:r w:rsidRPr="00365BDF">
        <w:rPr>
          <w:rFonts w:ascii="Nirmala UI" w:hAnsi="Nirmala UI" w:cs="Nirmala UI"/>
          <w:color w:val="000000"/>
          <w:sz w:val="22"/>
          <w:szCs w:val="22"/>
        </w:rPr>
        <w:lastRenderedPageBreak/>
        <w:t xml:space="preserve">En </w:t>
      </w:r>
      <w:r w:rsidR="004F4344" w:rsidRPr="00365BDF">
        <w:rPr>
          <w:rFonts w:ascii="Nirmala UI" w:hAnsi="Nirmala UI" w:cs="Nirmala UI"/>
          <w:color w:val="000000"/>
          <w:sz w:val="22"/>
          <w:szCs w:val="22"/>
        </w:rPr>
        <w:t>……</w:t>
      </w:r>
      <w:r w:rsidR="004C6040">
        <w:rPr>
          <w:rFonts w:ascii="Nirmala UI" w:hAnsi="Nirmala UI" w:cs="Nirmala UI"/>
          <w:color w:val="000000"/>
          <w:sz w:val="22"/>
          <w:szCs w:val="22"/>
        </w:rPr>
        <w:t>……….</w:t>
      </w:r>
      <w:r w:rsidR="004F4344" w:rsidRPr="00365BDF">
        <w:rPr>
          <w:rFonts w:ascii="Nirmala UI" w:hAnsi="Nirmala UI" w:cs="Nirmala UI"/>
          <w:color w:val="000000"/>
          <w:sz w:val="22"/>
          <w:szCs w:val="22"/>
        </w:rPr>
        <w:t>….</w:t>
      </w:r>
      <w:r w:rsidR="004C6040">
        <w:rPr>
          <w:rFonts w:ascii="Nirmala UI" w:hAnsi="Nirmala UI" w:cs="Nirmala UI"/>
          <w:color w:val="000000"/>
          <w:sz w:val="22"/>
          <w:szCs w:val="22"/>
        </w:rPr>
        <w:t>, a …………. de ……………</w:t>
      </w:r>
      <w:r w:rsidR="004F4344" w:rsidRPr="00365BDF">
        <w:rPr>
          <w:rFonts w:ascii="Nirmala UI" w:hAnsi="Nirmala UI" w:cs="Nirmala UI"/>
          <w:color w:val="000000"/>
          <w:sz w:val="22"/>
          <w:szCs w:val="22"/>
        </w:rPr>
        <w:t>…….</w:t>
      </w:r>
      <w:r w:rsidR="0056607C" w:rsidRPr="00365BDF">
        <w:rPr>
          <w:rFonts w:ascii="Nirmala UI" w:hAnsi="Nirmala UI" w:cs="Nirmala UI"/>
          <w:color w:val="000000"/>
          <w:sz w:val="22"/>
          <w:szCs w:val="22"/>
        </w:rPr>
        <w:t xml:space="preserve"> de 2020</w:t>
      </w:r>
    </w:p>
    <w:p w14:paraId="470537EB" w14:textId="77777777" w:rsidR="0056607C" w:rsidRPr="00365BDF" w:rsidRDefault="0056607C" w:rsidP="0056607C">
      <w:pPr>
        <w:pStyle w:val="Default"/>
        <w:rPr>
          <w:rFonts w:ascii="Nirmala UI" w:hAnsi="Nirmala UI" w:cs="Nirmala UI"/>
          <w:sz w:val="22"/>
          <w:szCs w:val="22"/>
        </w:rPr>
      </w:pPr>
    </w:p>
    <w:p w14:paraId="2E3EFA74" w14:textId="20185044" w:rsidR="0056607C" w:rsidRDefault="0056607C" w:rsidP="0056607C">
      <w:pPr>
        <w:pStyle w:val="Default"/>
        <w:rPr>
          <w:rFonts w:ascii="Nirmala UI" w:hAnsi="Nirmala UI" w:cs="Nirmala UI"/>
          <w:sz w:val="22"/>
          <w:szCs w:val="22"/>
        </w:rPr>
      </w:pPr>
    </w:p>
    <w:p w14:paraId="5FCBF2FA" w14:textId="77777777" w:rsidR="005E7F78" w:rsidRPr="00365BDF" w:rsidRDefault="005E7F78" w:rsidP="0056607C">
      <w:pPr>
        <w:pStyle w:val="Default"/>
        <w:rPr>
          <w:rFonts w:ascii="Nirmala UI" w:hAnsi="Nirmala UI" w:cs="Nirmala UI"/>
          <w:sz w:val="22"/>
          <w:szCs w:val="22"/>
        </w:rPr>
      </w:pPr>
    </w:p>
    <w:p w14:paraId="411B03F1" w14:textId="77777777" w:rsidR="0056607C" w:rsidRPr="00365BDF" w:rsidRDefault="0056607C" w:rsidP="0056607C">
      <w:pPr>
        <w:jc w:val="center"/>
        <w:rPr>
          <w:rFonts w:ascii="Nirmala UI" w:hAnsi="Nirmala UI" w:cs="Nirmala UI"/>
          <w:color w:val="000000"/>
        </w:rPr>
      </w:pPr>
      <w:r w:rsidRPr="00365BDF">
        <w:rPr>
          <w:rFonts w:ascii="Nirmala UI" w:hAnsi="Nirmala UI" w:cs="Nirmala UI"/>
          <w:color w:val="000000"/>
        </w:rPr>
        <w:t>REUNIDOS</w:t>
      </w:r>
    </w:p>
    <w:p w14:paraId="4472F92F" w14:textId="77777777" w:rsidR="0056607C" w:rsidRPr="00365BDF" w:rsidRDefault="0056607C" w:rsidP="0056607C">
      <w:pPr>
        <w:jc w:val="center"/>
        <w:rPr>
          <w:rFonts w:ascii="Nirmala UI" w:hAnsi="Nirmala UI" w:cs="Nirmala UI"/>
          <w:color w:val="000000"/>
        </w:rPr>
      </w:pPr>
    </w:p>
    <w:p w14:paraId="4E8F9E55" w14:textId="0DCA1168" w:rsidR="00AA2EC4" w:rsidRPr="002274B8" w:rsidRDefault="00625225" w:rsidP="008253B9">
      <w:pPr>
        <w:jc w:val="both"/>
        <w:rPr>
          <w:rFonts w:ascii="Nirmala UI" w:hAnsi="Nirmala UI" w:cs="Nirmala UI"/>
        </w:rPr>
      </w:pPr>
      <w:r w:rsidRPr="00365BDF">
        <w:rPr>
          <w:rFonts w:ascii="Nirmala UI" w:hAnsi="Nirmala UI" w:cs="Nirmala UI"/>
          <w:color w:val="000000"/>
        </w:rPr>
        <w:t>D.</w:t>
      </w:r>
      <w:r w:rsidR="00A454E8" w:rsidRPr="00365BDF">
        <w:rPr>
          <w:rFonts w:ascii="Nirmala UI" w:hAnsi="Nirmala UI" w:cs="Nirmala UI"/>
          <w:color w:val="000000"/>
        </w:rPr>
        <w:t xml:space="preserve"> Fernando Valdés Verelst,</w:t>
      </w:r>
      <w:r w:rsidR="0056607C" w:rsidRPr="00365BDF">
        <w:rPr>
          <w:rFonts w:ascii="Nirmala UI" w:hAnsi="Nirmala UI" w:cs="Nirmala UI"/>
          <w:color w:val="000000"/>
        </w:rPr>
        <w:t xml:space="preserve"> Secretari</w:t>
      </w:r>
      <w:r w:rsidR="00A454E8" w:rsidRPr="00365BDF">
        <w:rPr>
          <w:rFonts w:ascii="Nirmala UI" w:hAnsi="Nirmala UI" w:cs="Nirmala UI"/>
          <w:color w:val="000000"/>
        </w:rPr>
        <w:t>o</w:t>
      </w:r>
      <w:r w:rsidR="0056607C" w:rsidRPr="00365BDF">
        <w:rPr>
          <w:rFonts w:ascii="Nirmala UI" w:hAnsi="Nirmala UI" w:cs="Nirmala UI"/>
          <w:color w:val="000000"/>
        </w:rPr>
        <w:t xml:space="preserve"> de Estado de Turismo, nombrad</w:t>
      </w:r>
      <w:r w:rsidR="00A454E8" w:rsidRPr="00365BDF">
        <w:rPr>
          <w:rFonts w:ascii="Nirmala UI" w:hAnsi="Nirmala UI" w:cs="Nirmala UI"/>
          <w:color w:val="000000"/>
        </w:rPr>
        <w:t>o</w:t>
      </w:r>
      <w:r w:rsidR="0056607C" w:rsidRPr="00365BDF">
        <w:rPr>
          <w:rFonts w:ascii="Nirmala UI" w:hAnsi="Nirmala UI" w:cs="Nirmala UI"/>
          <w:color w:val="000000"/>
        </w:rPr>
        <w:t xml:space="preserve"> por </w:t>
      </w:r>
      <w:r w:rsidR="00AA2EC4" w:rsidRPr="00365BDF">
        <w:rPr>
          <w:rFonts w:ascii="Nirmala UI" w:hAnsi="Nirmala UI" w:cs="Nirmala UI"/>
        </w:rPr>
        <w:t>Real Decreto</w:t>
      </w:r>
      <w:r w:rsidR="00AA2EC4" w:rsidRPr="00365BDF">
        <w:rPr>
          <w:rFonts w:ascii="Nirmala UI" w:hAnsi="Nirmala UI" w:cs="Nirmala UI"/>
          <w:color w:val="00B050"/>
        </w:rPr>
        <w:t xml:space="preserve"> </w:t>
      </w:r>
      <w:r w:rsidR="00A454E8" w:rsidRPr="00365BDF">
        <w:rPr>
          <w:rFonts w:ascii="Nirmala UI" w:hAnsi="Nirmala UI" w:cs="Nirmala UI"/>
        </w:rPr>
        <w:t>673/2020, de 14 de julio</w:t>
      </w:r>
      <w:r w:rsidR="0056607C" w:rsidRPr="00365BDF">
        <w:rPr>
          <w:rFonts w:ascii="Nirmala UI" w:hAnsi="Nirmala UI" w:cs="Nirmala UI"/>
          <w:color w:val="000000"/>
        </w:rPr>
        <w:t xml:space="preserve">, actuando de conformidad con lo previsto en </w:t>
      </w:r>
      <w:r w:rsidR="00AA2EC4" w:rsidRPr="00365BDF">
        <w:rPr>
          <w:rFonts w:ascii="Nirmala UI" w:hAnsi="Nirmala UI" w:cs="Nirmala UI"/>
        </w:rPr>
        <w:t>el artículo 62</w:t>
      </w:r>
      <w:r w:rsidR="00EF199B" w:rsidRPr="00365BDF">
        <w:rPr>
          <w:rFonts w:ascii="Nirmala UI" w:hAnsi="Nirmala UI" w:cs="Nirmala UI"/>
        </w:rPr>
        <w:t>.2</w:t>
      </w:r>
      <w:r w:rsidR="00AA2EC4" w:rsidRPr="00365BDF">
        <w:rPr>
          <w:rFonts w:ascii="Nirmala UI" w:hAnsi="Nirmala UI" w:cs="Nirmala UI"/>
        </w:rPr>
        <w:t xml:space="preserve"> g) de la Ley 40/2015, de 1 de octubre, del Régimen Jurídico del Sector Público y el artículo 5 a) de </w:t>
      </w:r>
      <w:r w:rsidR="00AA2EC4" w:rsidRPr="00FF4BA9">
        <w:rPr>
          <w:rFonts w:ascii="Nirmala UI" w:hAnsi="Nirmala UI" w:cs="Nirmala UI"/>
          <w:color w:val="000000"/>
        </w:rPr>
        <w:t>la Orden OCT/42/2019,</w:t>
      </w:r>
      <w:r w:rsidR="00AA2EC4" w:rsidRPr="00365BDF">
        <w:rPr>
          <w:rFonts w:ascii="Nirmala UI" w:hAnsi="Nirmala UI" w:cs="Nirmala UI"/>
          <w:color w:val="FF0000"/>
        </w:rPr>
        <w:t xml:space="preserve"> </w:t>
      </w:r>
      <w:r w:rsidR="00AA2EC4" w:rsidRPr="00365BDF">
        <w:rPr>
          <w:rFonts w:ascii="Nirmala UI" w:hAnsi="Nirmala UI" w:cs="Nirmala UI"/>
        </w:rPr>
        <w:t xml:space="preserve">de 21 de enero, por la que se fijan los límites para administrar los créditos para gastos y se delegan determinadas competencias en el ámbito del </w:t>
      </w:r>
      <w:r w:rsidR="00AA2EC4" w:rsidRPr="002274B8">
        <w:rPr>
          <w:rFonts w:ascii="Nirmala UI" w:hAnsi="Nirmala UI" w:cs="Nirmala UI"/>
        </w:rPr>
        <w:t>Departamento, referido a las delegaciones de la Ministra en</w:t>
      </w:r>
      <w:r w:rsidR="004127A6" w:rsidRPr="002274B8">
        <w:rPr>
          <w:rFonts w:ascii="Nirmala UI" w:hAnsi="Nirmala UI" w:cs="Nirmala UI"/>
        </w:rPr>
        <w:t xml:space="preserve"> el</w:t>
      </w:r>
      <w:r w:rsidR="00AA2EC4" w:rsidRPr="002274B8">
        <w:rPr>
          <w:rFonts w:ascii="Nirmala UI" w:hAnsi="Nirmala UI" w:cs="Nirmala UI"/>
        </w:rPr>
        <w:t xml:space="preserve"> titular de la Secretaría de Estado de Turismo para celebrar convenios en su ámbito de competencia;</w:t>
      </w:r>
    </w:p>
    <w:p w14:paraId="12BE9CC9" w14:textId="1553635E" w:rsidR="002F40AC" w:rsidRPr="00365BDF" w:rsidRDefault="002F40AC">
      <w:pPr>
        <w:pStyle w:val="Default"/>
        <w:jc w:val="both"/>
        <w:rPr>
          <w:rFonts w:ascii="Nirmala UI" w:hAnsi="Nirmala UI" w:cs="Nirmala UI"/>
          <w:color w:val="auto"/>
          <w:sz w:val="22"/>
          <w:szCs w:val="22"/>
        </w:rPr>
      </w:pPr>
      <w:r w:rsidRPr="002274B8">
        <w:rPr>
          <w:rFonts w:ascii="Nirmala UI" w:hAnsi="Nirmala UI" w:cs="Nirmala UI"/>
          <w:color w:val="auto"/>
        </w:rPr>
        <w:t xml:space="preserve">Doña Yaiza Castilla Herrera, Consejera de Turismo, Industria y Comercio del Gobierno de Canarias, nombrada por Decreto 121/2019, de 17 de julio, por el que se nombra a los Consejeros y a las Consejeras del Gobierno de Canarias, en virtud de las facultades que le confiere el artículo 16.1 de la Ley 14/1990, de 26 de julio, de Régimen Jurídico de las Administraciones Públicas Canarias, y de conformidad con lo establecido en el artículo 4.2 </w:t>
      </w:r>
      <w:r w:rsidR="00D307DF" w:rsidRPr="002274B8">
        <w:rPr>
          <w:rFonts w:ascii="Nirmala UI" w:hAnsi="Nirmala UI" w:cs="Nirmala UI"/>
          <w:color w:val="auto"/>
        </w:rPr>
        <w:t>e</w:t>
      </w:r>
      <w:r w:rsidRPr="002274B8">
        <w:rPr>
          <w:rFonts w:ascii="Nirmala UI" w:hAnsi="Nirmala UI" w:cs="Nirmala UI"/>
          <w:color w:val="auto"/>
        </w:rPr>
        <w:t xml:space="preserve">) del Reglamento Orgánico de la Consejería de Turismo, Industria y Comercio, aprobado por Decreto  </w:t>
      </w:r>
      <w:r w:rsidR="00D307DF" w:rsidRPr="002274B8">
        <w:rPr>
          <w:rFonts w:ascii="Nirmala UI" w:hAnsi="Nirmala UI" w:cs="Nirmala UI"/>
          <w:color w:val="auto"/>
        </w:rPr>
        <w:t>45/2020</w:t>
      </w:r>
      <w:r w:rsidRPr="002274B8">
        <w:rPr>
          <w:rFonts w:ascii="Nirmala UI" w:hAnsi="Nirmala UI" w:cs="Nirmala UI"/>
          <w:color w:val="auto"/>
        </w:rPr>
        <w:t xml:space="preserve">, de </w:t>
      </w:r>
      <w:r w:rsidR="00D307DF" w:rsidRPr="002274B8">
        <w:rPr>
          <w:rFonts w:ascii="Nirmala UI" w:hAnsi="Nirmala UI" w:cs="Nirmala UI"/>
          <w:color w:val="auto"/>
        </w:rPr>
        <w:t>21</w:t>
      </w:r>
      <w:r w:rsidRPr="002274B8">
        <w:rPr>
          <w:rFonts w:ascii="Nirmala UI" w:hAnsi="Nirmala UI" w:cs="Nirmala UI"/>
          <w:color w:val="auto"/>
        </w:rPr>
        <w:t xml:space="preserve"> de </w:t>
      </w:r>
      <w:r w:rsidR="00D307DF" w:rsidRPr="002274B8">
        <w:rPr>
          <w:rFonts w:ascii="Nirmala UI" w:hAnsi="Nirmala UI" w:cs="Nirmala UI"/>
          <w:color w:val="auto"/>
        </w:rPr>
        <w:t>mayo</w:t>
      </w:r>
      <w:r w:rsidRPr="002274B8">
        <w:rPr>
          <w:rFonts w:ascii="Nirmala UI" w:hAnsi="Nirmala UI" w:cs="Nirmala UI"/>
          <w:color w:val="auto"/>
        </w:rPr>
        <w:t xml:space="preserve">, por el que se establece la estructura </w:t>
      </w:r>
      <w:r w:rsidRPr="00781187">
        <w:rPr>
          <w:rFonts w:ascii="Nirmala UI" w:hAnsi="Nirmala UI" w:cs="Nirmala UI"/>
        </w:rPr>
        <w:t xml:space="preserve">orgánica y se fijan las competencias de los órganos integrados en la Consejería de Turismo, Industria y Comercio; una vez autorizada la firma de este convenio por Acuerdo del Consejo de Gobierno de la Comunidad Autónoma </w:t>
      </w:r>
      <w:r w:rsidRPr="002274B8">
        <w:rPr>
          <w:rFonts w:ascii="Nirmala UI" w:hAnsi="Nirmala UI" w:cs="Nirmala UI"/>
        </w:rPr>
        <w:t xml:space="preserve">de ….. de fecha </w:t>
      </w:r>
      <w:r w:rsidRPr="002274B8">
        <w:rPr>
          <w:rFonts w:ascii="Nirmala UI" w:hAnsi="Nirmala UI" w:cs="Nirmala UI"/>
          <w:color w:val="92D050"/>
        </w:rPr>
        <w:t>(</w:t>
      </w:r>
      <w:r w:rsidR="002274B8" w:rsidRPr="002274B8">
        <w:rPr>
          <w:rFonts w:ascii="Nirmala UI" w:hAnsi="Nirmala UI" w:cs="Nirmala UI"/>
          <w:color w:val="92D050"/>
        </w:rPr>
        <w:t xml:space="preserve">fecha por </w:t>
      </w:r>
      <w:r w:rsidRPr="002274B8">
        <w:rPr>
          <w:rFonts w:ascii="Nirmala UI" w:hAnsi="Nirmala UI" w:cs="Nirmala UI"/>
          <w:color w:val="92D050"/>
        </w:rPr>
        <w:t>determinar).</w:t>
      </w:r>
    </w:p>
    <w:p w14:paraId="4196CBC1" w14:textId="77777777" w:rsidR="008253B9" w:rsidRPr="00365BDF" w:rsidRDefault="008253B9" w:rsidP="00781187">
      <w:pPr>
        <w:pStyle w:val="Default"/>
        <w:jc w:val="both"/>
        <w:rPr>
          <w:rFonts w:ascii="Nirmala UI" w:hAnsi="Nirmala UI" w:cs="Nirmala UI"/>
          <w:color w:val="auto"/>
          <w:sz w:val="22"/>
          <w:szCs w:val="22"/>
        </w:rPr>
      </w:pPr>
    </w:p>
    <w:p w14:paraId="76B9FA2B" w14:textId="3259D1B4" w:rsidR="00AA2EC4" w:rsidRPr="0087194C" w:rsidRDefault="002274B8" w:rsidP="00DD3026">
      <w:pPr>
        <w:jc w:val="both"/>
        <w:rPr>
          <w:rFonts w:ascii="Nirmala UI" w:hAnsi="Nirmala UI" w:cs="Nirmala UI"/>
          <w:color w:val="FF0000"/>
        </w:rPr>
      </w:pPr>
      <w:r>
        <w:rPr>
          <w:rFonts w:ascii="Nirmala UI" w:hAnsi="Nirmala UI" w:cs="Nirmala UI"/>
        </w:rPr>
        <w:t>D. ANTONIO MORALES MENDEZ</w:t>
      </w:r>
      <w:r w:rsidR="00174628" w:rsidRPr="00781187">
        <w:rPr>
          <w:rFonts w:ascii="Nirmala UI" w:hAnsi="Nirmala UI" w:cs="Nirmala UI"/>
        </w:rPr>
        <w:t>, Presidente del</w:t>
      </w:r>
      <w:r w:rsidR="00FD2751" w:rsidRPr="00781187">
        <w:rPr>
          <w:rFonts w:ascii="Nirmala UI" w:hAnsi="Nirmala UI" w:cs="Nirmala UI"/>
        </w:rPr>
        <w:t xml:space="preserve"> Excmo.</w:t>
      </w:r>
      <w:r w:rsidR="00174628" w:rsidRPr="00781187">
        <w:rPr>
          <w:rFonts w:ascii="Nirmala UI" w:hAnsi="Nirmala UI" w:cs="Nirmala UI"/>
        </w:rPr>
        <w:t xml:space="preserve"> Cabildo </w:t>
      </w:r>
      <w:r w:rsidR="00FD2751" w:rsidRPr="00781187">
        <w:rPr>
          <w:rFonts w:ascii="Nirmala UI" w:hAnsi="Nirmala UI" w:cs="Nirmala UI"/>
        </w:rPr>
        <w:t xml:space="preserve">Insular </w:t>
      </w:r>
      <w:r w:rsidR="00174628" w:rsidRPr="00781187">
        <w:rPr>
          <w:rFonts w:ascii="Nirmala UI" w:hAnsi="Nirmala UI" w:cs="Nirmala UI"/>
        </w:rPr>
        <w:t xml:space="preserve">de Gran Canaria, </w:t>
      </w:r>
      <w:r w:rsidR="001E4AFB" w:rsidRPr="00781187">
        <w:rPr>
          <w:rFonts w:ascii="Nirmala UI" w:hAnsi="Nirmala UI" w:cs="Nirmala UI"/>
        </w:rPr>
        <w:t xml:space="preserve">actuando en virtud de lo dispuesto en el </w:t>
      </w:r>
      <w:r w:rsidR="00FD2751" w:rsidRPr="00781187">
        <w:rPr>
          <w:rFonts w:ascii="Nirmala UI" w:hAnsi="Nirmala UI" w:cs="Nirmala UI"/>
        </w:rPr>
        <w:t>artículo 34</w:t>
      </w:r>
      <w:r w:rsidR="001E4AFB" w:rsidRPr="00781187">
        <w:rPr>
          <w:rFonts w:ascii="Nirmala UI" w:hAnsi="Nirmala UI" w:cs="Nirmala UI"/>
        </w:rPr>
        <w:t>.1.b) de la Ley 7/1985, de 2 de abril, reguladora de las bases de Régimen Local</w:t>
      </w:r>
      <w:r w:rsidR="00440EFD" w:rsidRPr="00781187">
        <w:rPr>
          <w:rFonts w:ascii="Nirmala UI" w:hAnsi="Nirmala UI" w:cs="Nirmala UI"/>
        </w:rPr>
        <w:t xml:space="preserve">,  estando facultado para su suscripción en virtud del </w:t>
      </w:r>
      <w:r w:rsidR="00E64787" w:rsidRPr="00781187">
        <w:rPr>
          <w:rFonts w:ascii="Nirmala UI" w:hAnsi="Nirmala UI" w:cs="Nirmala UI"/>
        </w:rPr>
        <w:t xml:space="preserve">artículo  25.3 m) del Reglamento Orgánico de  Gobierno y Administración del Cabildo de Gran Canaria, de </w:t>
      </w:r>
      <w:r w:rsidR="00440EFD" w:rsidRPr="00781187">
        <w:rPr>
          <w:rFonts w:ascii="Nirmala UI" w:hAnsi="Nirmala UI" w:cs="Nirmala UI"/>
        </w:rPr>
        <w:t>30 de Noviembre de 2016</w:t>
      </w:r>
      <w:r w:rsidR="00E64787" w:rsidRPr="00781187">
        <w:rPr>
          <w:rFonts w:ascii="Nirmala UI" w:hAnsi="Nirmala UI" w:cs="Nirmala UI"/>
        </w:rPr>
        <w:t>,</w:t>
      </w:r>
      <w:r w:rsidR="0087194C" w:rsidRPr="00781187">
        <w:rPr>
          <w:rFonts w:ascii="Nirmala UI" w:hAnsi="Nirmala UI" w:cs="Nirmala UI"/>
        </w:rPr>
        <w:t xml:space="preserve"> previa  aprobación </w:t>
      </w:r>
      <w:r w:rsidR="004F4344" w:rsidRPr="00781187">
        <w:rPr>
          <w:rFonts w:ascii="Nirmala UI" w:hAnsi="Nirmala UI" w:cs="Nirmala UI"/>
        </w:rPr>
        <w:t>del presente c</w:t>
      </w:r>
      <w:r w:rsidR="00174628" w:rsidRPr="00781187">
        <w:rPr>
          <w:rFonts w:ascii="Nirmala UI" w:hAnsi="Nirmala UI" w:cs="Nirmala UI"/>
        </w:rPr>
        <w:t>onvenio por Acuerdo del Consejo de Gobierno Insular</w:t>
      </w:r>
      <w:r w:rsidR="00DB07B4" w:rsidRPr="00781187">
        <w:rPr>
          <w:rFonts w:ascii="Nirmala UI" w:hAnsi="Nirmala UI" w:cs="Nirmala UI"/>
        </w:rPr>
        <w:t xml:space="preserve"> </w:t>
      </w:r>
      <w:r w:rsidR="00174628" w:rsidRPr="00781187">
        <w:rPr>
          <w:rFonts w:ascii="Nirmala UI" w:hAnsi="Nirmala UI" w:cs="Nirmala UI"/>
        </w:rPr>
        <w:t xml:space="preserve">, </w:t>
      </w:r>
      <w:r w:rsidRPr="002274B8">
        <w:rPr>
          <w:rFonts w:ascii="Nirmala UI" w:hAnsi="Nirmala UI" w:cs="Nirmala UI"/>
          <w:color w:val="92D050"/>
        </w:rPr>
        <w:t>(fecha por determinar).</w:t>
      </w:r>
    </w:p>
    <w:p w14:paraId="70C4444C" w14:textId="77777777" w:rsidR="00AA2EC4" w:rsidRPr="00365BDF" w:rsidRDefault="00AA2EC4" w:rsidP="00DD3026">
      <w:pPr>
        <w:pStyle w:val="Pa6"/>
        <w:jc w:val="both"/>
        <w:rPr>
          <w:rFonts w:ascii="Nirmala UI" w:hAnsi="Nirmala UI" w:cs="Nirmala UI"/>
          <w:sz w:val="22"/>
          <w:szCs w:val="22"/>
        </w:rPr>
      </w:pPr>
      <w:r w:rsidRPr="00365BDF">
        <w:rPr>
          <w:rFonts w:ascii="Nirmala UI" w:hAnsi="Nirmala UI" w:cs="Nirmala UI"/>
          <w:sz w:val="22"/>
          <w:szCs w:val="22"/>
        </w:rPr>
        <w:t>Las partes comparecen en la representación que ostentan de sus respectivas Instituciones, reconociéndose de modo recíproco capacid</w:t>
      </w:r>
      <w:r w:rsidR="00DB07B4" w:rsidRPr="00365BDF">
        <w:rPr>
          <w:rFonts w:ascii="Nirmala UI" w:hAnsi="Nirmala UI" w:cs="Nirmala UI"/>
          <w:sz w:val="22"/>
          <w:szCs w:val="22"/>
        </w:rPr>
        <w:t>ad para formalizar el presente c</w:t>
      </w:r>
      <w:r w:rsidRPr="00365BDF">
        <w:rPr>
          <w:rFonts w:ascii="Nirmala UI" w:hAnsi="Nirmala UI" w:cs="Nirmala UI"/>
          <w:sz w:val="22"/>
          <w:szCs w:val="22"/>
        </w:rPr>
        <w:t>onvenio y, a tal efecto,</w:t>
      </w:r>
    </w:p>
    <w:p w14:paraId="347D0E5F" w14:textId="2F6FB965" w:rsidR="00AA2EC4" w:rsidRDefault="00AA2EC4" w:rsidP="00AA2EC4">
      <w:pPr>
        <w:pStyle w:val="Default"/>
        <w:rPr>
          <w:rFonts w:ascii="Nirmala UI" w:hAnsi="Nirmala UI" w:cs="Nirmala UI"/>
          <w:sz w:val="22"/>
          <w:szCs w:val="22"/>
        </w:rPr>
      </w:pPr>
    </w:p>
    <w:p w14:paraId="6C281F18" w14:textId="77777777" w:rsidR="005E7F78" w:rsidRPr="00365BDF" w:rsidRDefault="005E7F78" w:rsidP="00AA2EC4">
      <w:pPr>
        <w:pStyle w:val="Default"/>
        <w:rPr>
          <w:rFonts w:ascii="Nirmala UI" w:hAnsi="Nirmala UI" w:cs="Nirmala UI"/>
          <w:sz w:val="22"/>
          <w:szCs w:val="22"/>
        </w:rPr>
      </w:pPr>
    </w:p>
    <w:p w14:paraId="3C9D289B" w14:textId="77777777" w:rsidR="00AA2EC4" w:rsidRPr="00365BDF" w:rsidRDefault="00AA2EC4" w:rsidP="00AA2EC4">
      <w:pPr>
        <w:pStyle w:val="Default"/>
        <w:rPr>
          <w:rFonts w:ascii="Nirmala UI" w:hAnsi="Nirmala UI" w:cs="Nirmala UI"/>
          <w:sz w:val="22"/>
          <w:szCs w:val="22"/>
        </w:rPr>
      </w:pPr>
    </w:p>
    <w:p w14:paraId="742B90D5" w14:textId="77777777" w:rsidR="00AA2EC4" w:rsidRPr="00365BDF" w:rsidRDefault="00AA2EC4" w:rsidP="00AA2EC4">
      <w:pPr>
        <w:jc w:val="center"/>
        <w:rPr>
          <w:rFonts w:ascii="Nirmala UI" w:hAnsi="Nirmala UI" w:cs="Nirmala UI"/>
          <w:color w:val="000000"/>
        </w:rPr>
      </w:pPr>
      <w:r w:rsidRPr="00365BDF">
        <w:rPr>
          <w:rFonts w:ascii="Nirmala UI" w:hAnsi="Nirmala UI" w:cs="Nirmala UI"/>
          <w:color w:val="000000"/>
        </w:rPr>
        <w:t>EXPONEN</w:t>
      </w:r>
    </w:p>
    <w:p w14:paraId="46602301" w14:textId="77777777" w:rsidR="00083694" w:rsidRPr="00365BDF" w:rsidRDefault="00083694" w:rsidP="00AA2EC4">
      <w:pPr>
        <w:jc w:val="both"/>
        <w:rPr>
          <w:rFonts w:ascii="Nirmala UI" w:hAnsi="Nirmala UI" w:cs="Nirmala UI"/>
          <w:color w:val="000000"/>
        </w:rPr>
      </w:pPr>
    </w:p>
    <w:p w14:paraId="09C8AF9A" w14:textId="7DA54465" w:rsidR="009A5CC8" w:rsidRPr="00365BDF" w:rsidRDefault="00083694" w:rsidP="00DD3026">
      <w:pPr>
        <w:pStyle w:val="Prrafodelista"/>
        <w:numPr>
          <w:ilvl w:val="0"/>
          <w:numId w:val="2"/>
        </w:numPr>
        <w:autoSpaceDE w:val="0"/>
        <w:autoSpaceDN w:val="0"/>
        <w:adjustRightInd w:val="0"/>
        <w:spacing w:after="0" w:line="240" w:lineRule="auto"/>
        <w:jc w:val="both"/>
        <w:rPr>
          <w:rFonts w:ascii="Nirmala UI" w:hAnsi="Nirmala UI" w:cs="Nirmala UI"/>
          <w:color w:val="000000"/>
        </w:rPr>
      </w:pPr>
      <w:r w:rsidRPr="00365BDF">
        <w:rPr>
          <w:rFonts w:ascii="Nirmala UI" w:hAnsi="Nirmala UI" w:cs="Nirmala UI"/>
          <w:color w:val="000000"/>
        </w:rPr>
        <w:t>Que la Administración General del Estado</w:t>
      </w:r>
      <w:r w:rsidR="00AC79DE" w:rsidRPr="00365BDF">
        <w:rPr>
          <w:rFonts w:ascii="Nirmala UI" w:hAnsi="Nirmala UI" w:cs="Nirmala UI"/>
          <w:color w:val="000000"/>
        </w:rPr>
        <w:t>,</w:t>
      </w:r>
      <w:r w:rsidRPr="00365BDF">
        <w:rPr>
          <w:rFonts w:ascii="Nirmala UI" w:hAnsi="Nirmala UI" w:cs="Nirmala UI"/>
          <w:color w:val="000000"/>
        </w:rPr>
        <w:t xml:space="preserve"> en virtud de las competencias reservadas al Estado por el Artículo 149.1.13.ª de la Constitución (bases y coordinación de la planificación general de la actividad económica), así como del principio de cooperación, ha elaborado el Programa de Planes de Sostenibilidad Turística en Destinos</w:t>
      </w:r>
      <w:r w:rsidR="00DD0D2A" w:rsidRPr="00365BDF">
        <w:rPr>
          <w:rFonts w:ascii="Nirmala UI" w:hAnsi="Nirmala UI" w:cs="Nirmala UI"/>
          <w:color w:val="000000"/>
        </w:rPr>
        <w:t xml:space="preserve">, </w:t>
      </w:r>
      <w:r w:rsidRPr="00365BDF">
        <w:rPr>
          <w:rFonts w:ascii="Nirmala UI" w:hAnsi="Nirmala UI" w:cs="Nirmala UI"/>
          <w:color w:val="000000"/>
        </w:rPr>
        <w:t xml:space="preserve">integrado dentro del tercer pilar de </w:t>
      </w:r>
      <w:r w:rsidR="00AC79DE" w:rsidRPr="00365BDF">
        <w:rPr>
          <w:rFonts w:ascii="Nirmala UI" w:hAnsi="Nirmala UI" w:cs="Nirmala UI"/>
          <w:color w:val="000000"/>
        </w:rPr>
        <w:t>“Mejora de la competitividad del destino turístico” del Plan de Impulso del Sector Turístico presentado por el Gobierno el 1</w:t>
      </w:r>
      <w:r w:rsidR="00DD3026" w:rsidRPr="00365BDF">
        <w:rPr>
          <w:rFonts w:ascii="Nirmala UI" w:hAnsi="Nirmala UI" w:cs="Nirmala UI"/>
          <w:color w:val="000000"/>
        </w:rPr>
        <w:t>8</w:t>
      </w:r>
      <w:r w:rsidR="00AC79DE" w:rsidRPr="00365BDF">
        <w:rPr>
          <w:rFonts w:ascii="Nirmala UI" w:hAnsi="Nirmala UI" w:cs="Nirmala UI"/>
          <w:color w:val="000000"/>
        </w:rPr>
        <w:t xml:space="preserve"> de junio</w:t>
      </w:r>
      <w:r w:rsidR="009A5CC8" w:rsidRPr="00365BDF">
        <w:rPr>
          <w:rFonts w:ascii="Nirmala UI" w:hAnsi="Nirmala UI" w:cs="Nirmala UI"/>
          <w:color w:val="000000"/>
        </w:rPr>
        <w:t xml:space="preserve"> de 2020. </w:t>
      </w:r>
    </w:p>
    <w:p w14:paraId="6F906BA1" w14:textId="77777777" w:rsidR="009A6AB9" w:rsidRPr="00365BDF" w:rsidRDefault="009A6AB9" w:rsidP="009A6AB9">
      <w:pPr>
        <w:pStyle w:val="Prrafodelista"/>
        <w:autoSpaceDE w:val="0"/>
        <w:autoSpaceDN w:val="0"/>
        <w:adjustRightInd w:val="0"/>
        <w:spacing w:after="0" w:line="240" w:lineRule="auto"/>
        <w:ind w:left="360"/>
        <w:jc w:val="both"/>
        <w:rPr>
          <w:rFonts w:ascii="Nirmala UI" w:hAnsi="Nirmala UI" w:cs="Nirmala UI"/>
          <w:color w:val="000000"/>
        </w:rPr>
      </w:pPr>
    </w:p>
    <w:p w14:paraId="712BBF4B" w14:textId="27CA626C" w:rsidR="00083694" w:rsidRPr="00365BDF" w:rsidRDefault="009A5CC8" w:rsidP="009A5CC8">
      <w:pPr>
        <w:pStyle w:val="Prrafodelista"/>
        <w:autoSpaceDE w:val="0"/>
        <w:autoSpaceDN w:val="0"/>
        <w:adjustRightInd w:val="0"/>
        <w:spacing w:after="0" w:line="240" w:lineRule="auto"/>
        <w:ind w:left="360"/>
        <w:jc w:val="both"/>
        <w:rPr>
          <w:rFonts w:ascii="Nirmala UI" w:hAnsi="Nirmala UI" w:cs="Nirmala UI"/>
          <w:color w:val="000000"/>
        </w:rPr>
      </w:pPr>
      <w:r w:rsidRPr="00365BDF">
        <w:rPr>
          <w:rFonts w:ascii="Nirmala UI" w:hAnsi="Nirmala UI" w:cs="Nirmala UI"/>
          <w:color w:val="000000"/>
        </w:rPr>
        <w:t xml:space="preserve">A su vez, el Real Decreto-Ley 25/2020, de 3 de julio, de medidas urgentes para apoyar la reactivación de la economía y el empleo, </w:t>
      </w:r>
      <w:r w:rsidR="007C2AFF" w:rsidRPr="00BA1BEB">
        <w:rPr>
          <w:rFonts w:ascii="Nirmala UI" w:hAnsi="Nirmala UI" w:cs="Nirmala UI"/>
          <w:color w:val="000000"/>
        </w:rPr>
        <w:t>crea</w:t>
      </w:r>
      <w:r w:rsidRPr="00365BDF">
        <w:rPr>
          <w:rFonts w:ascii="Nirmala UI" w:hAnsi="Nirmala UI" w:cs="Nirmala UI"/>
          <w:color w:val="000000"/>
        </w:rPr>
        <w:t xml:space="preserve"> </w:t>
      </w:r>
      <w:r w:rsidR="009A6AB9" w:rsidRPr="00365BDF">
        <w:rPr>
          <w:rFonts w:ascii="Nirmala UI" w:hAnsi="Nirmala UI" w:cs="Nirmala UI"/>
          <w:color w:val="000000"/>
        </w:rPr>
        <w:t xml:space="preserve">en su artículo 10 </w:t>
      </w:r>
      <w:r w:rsidRPr="00365BDF">
        <w:rPr>
          <w:rFonts w:ascii="Nirmala UI" w:hAnsi="Nirmala UI" w:cs="Nirmala UI"/>
          <w:color w:val="000000"/>
        </w:rPr>
        <w:t xml:space="preserve">los </w:t>
      </w:r>
      <w:r w:rsidRPr="00BA1BEB">
        <w:rPr>
          <w:rFonts w:ascii="Nirmala UI" w:hAnsi="Nirmala UI" w:cs="Nirmala UI"/>
          <w:color w:val="000000"/>
        </w:rPr>
        <w:t xml:space="preserve">«Planes de Sostenibilidad Turística en Destinos», como instrumentos </w:t>
      </w:r>
      <w:r w:rsidR="007C2AFF" w:rsidRPr="00BA1BEB">
        <w:rPr>
          <w:rFonts w:ascii="Nirmala UI" w:hAnsi="Nirmala UI" w:cs="Nirmala UI"/>
          <w:color w:val="000000"/>
        </w:rPr>
        <w:t>para la prestación, por parte de la Secretaría de Estado de Turismo,</w:t>
      </w:r>
      <w:r w:rsidR="007C2AFF">
        <w:rPr>
          <w:rFonts w:ascii="Nirmala UI" w:hAnsi="Nirmala UI" w:cs="Nirmala UI"/>
          <w:b/>
          <w:color w:val="FF0066"/>
        </w:rPr>
        <w:t xml:space="preserve"> </w:t>
      </w:r>
      <w:r w:rsidRPr="00365BDF">
        <w:rPr>
          <w:rFonts w:ascii="Nirmala UI" w:hAnsi="Nirmala UI" w:cs="Nirmala UI"/>
        </w:rPr>
        <w:t>de apoyo a la inversión en actuaciones de impulso, adecuación y mejora de los destinos turísticos con el fin de aumentar su sostenibilidad.</w:t>
      </w:r>
      <w:r w:rsidR="009A6AB9" w:rsidRPr="00365BDF">
        <w:rPr>
          <w:rFonts w:ascii="Nirmala UI" w:hAnsi="Nirmala UI" w:cs="Nirmala UI"/>
        </w:rPr>
        <w:t xml:space="preserve"> </w:t>
      </w:r>
    </w:p>
    <w:p w14:paraId="08739A73" w14:textId="66B7DB9C" w:rsidR="00F1646B" w:rsidRPr="009F4D75" w:rsidRDefault="00F1646B" w:rsidP="00F1646B">
      <w:pPr>
        <w:autoSpaceDE w:val="0"/>
        <w:autoSpaceDN w:val="0"/>
        <w:adjustRightInd w:val="0"/>
        <w:spacing w:after="0" w:line="240" w:lineRule="auto"/>
        <w:jc w:val="both"/>
        <w:rPr>
          <w:rFonts w:ascii="Nirmala UI" w:hAnsi="Nirmala UI" w:cs="Nirmala UI"/>
          <w:strike/>
        </w:rPr>
      </w:pPr>
    </w:p>
    <w:p w14:paraId="46F7FDA6" w14:textId="10A334EE" w:rsidR="002F40AC" w:rsidRPr="00781187" w:rsidRDefault="002F40AC" w:rsidP="005E14FB">
      <w:pPr>
        <w:pStyle w:val="Prrafodelista"/>
        <w:numPr>
          <w:ilvl w:val="0"/>
          <w:numId w:val="2"/>
        </w:numPr>
        <w:autoSpaceDE w:val="0"/>
        <w:autoSpaceDN w:val="0"/>
        <w:adjustRightInd w:val="0"/>
        <w:spacing w:after="0" w:line="240" w:lineRule="auto"/>
        <w:jc w:val="both"/>
        <w:rPr>
          <w:rFonts w:ascii="Nirmala UI" w:hAnsi="Nirmala UI" w:cs="Nirmala UI"/>
        </w:rPr>
      </w:pPr>
      <w:bookmarkStart w:id="1" w:name="_Hlk53650563"/>
      <w:r w:rsidRPr="00781187">
        <w:rPr>
          <w:rFonts w:ascii="Nirmala UI" w:hAnsi="Nirmala UI" w:cs="Nirmala UI"/>
        </w:rPr>
        <w:t>Que la Comunidad Autónoma de Canarias, en virtud de la competencia exclusiva en materia de turismo, atribuida por el artículo 129 de la Ley Orgánica 1/2018, de 5 de noviembre, de reforma de su Estatuto de Autonomía, ha desarrollado, asimismo en el ejercicio de sus competencias, diferentes actuaciones con la finalidad de mejorar la situación turística de la isla de Gran Canaria, promoviendo planes, programas y normas para la modernización y adecuación de la industria turística a las tendencias de la demanda.</w:t>
      </w:r>
      <w:bookmarkEnd w:id="1"/>
    </w:p>
    <w:p w14:paraId="4978BA2E" w14:textId="77777777" w:rsidR="00F1646B" w:rsidRPr="00781187" w:rsidRDefault="00F1646B" w:rsidP="005E14FB">
      <w:pPr>
        <w:pStyle w:val="Prrafodelista"/>
        <w:autoSpaceDE w:val="0"/>
        <w:autoSpaceDN w:val="0"/>
        <w:adjustRightInd w:val="0"/>
        <w:spacing w:after="0" w:line="240" w:lineRule="auto"/>
        <w:ind w:left="360"/>
        <w:jc w:val="both"/>
        <w:rPr>
          <w:rFonts w:ascii="Nirmala UI" w:hAnsi="Nirmala UI" w:cs="Nirmala UI"/>
        </w:rPr>
      </w:pPr>
    </w:p>
    <w:p w14:paraId="378B4E9A" w14:textId="56C0F27E" w:rsidR="00161502" w:rsidRPr="00781187" w:rsidRDefault="00F1646B" w:rsidP="00161502">
      <w:pPr>
        <w:pStyle w:val="Prrafodelista"/>
        <w:numPr>
          <w:ilvl w:val="0"/>
          <w:numId w:val="2"/>
        </w:numPr>
        <w:autoSpaceDE w:val="0"/>
        <w:autoSpaceDN w:val="0"/>
        <w:adjustRightInd w:val="0"/>
        <w:spacing w:after="0" w:line="240" w:lineRule="auto"/>
        <w:jc w:val="both"/>
        <w:rPr>
          <w:rFonts w:ascii="Nirmala UI" w:hAnsi="Nirmala UI" w:cs="Nirmala UI"/>
        </w:rPr>
      </w:pPr>
      <w:r w:rsidRPr="00781187">
        <w:rPr>
          <w:rFonts w:ascii="Nirmala UI" w:hAnsi="Nirmala UI" w:cs="Nirmala UI"/>
        </w:rPr>
        <w:t xml:space="preserve">Que el </w:t>
      </w:r>
      <w:r w:rsidR="00174628" w:rsidRPr="00781187">
        <w:rPr>
          <w:rFonts w:ascii="Nirmala UI" w:hAnsi="Nirmala UI" w:cs="Nirmala UI"/>
        </w:rPr>
        <w:t>Cabildo de Gran Canaria</w:t>
      </w:r>
      <w:r w:rsidR="00DD0D2A" w:rsidRPr="00781187">
        <w:rPr>
          <w:rFonts w:ascii="Nirmala UI" w:hAnsi="Nirmala UI" w:cs="Nirmala UI"/>
        </w:rPr>
        <w:t xml:space="preserve"> </w:t>
      </w:r>
      <w:r w:rsidRPr="00781187">
        <w:rPr>
          <w:rFonts w:ascii="Nirmala UI" w:hAnsi="Nirmala UI" w:cs="Nirmala UI"/>
        </w:rPr>
        <w:t xml:space="preserve">en virtud de las competencias que </w:t>
      </w:r>
      <w:r w:rsidR="003277F1" w:rsidRPr="00781187">
        <w:rPr>
          <w:rFonts w:ascii="Nirmala UI" w:hAnsi="Nirmala UI" w:cs="Nirmala UI"/>
        </w:rPr>
        <w:t>le atribuye el art. 70.2 letras  f) y n) de</w:t>
      </w:r>
      <w:r w:rsidR="00F16802" w:rsidRPr="00781187">
        <w:rPr>
          <w:rFonts w:ascii="Nirmala UI" w:hAnsi="Nirmala UI" w:cs="Nirmala UI"/>
        </w:rPr>
        <w:t xml:space="preserve"> la mencionada L.O. 1/2018 de reforma del Estatuto de Autonomía de Canarias,</w:t>
      </w:r>
      <w:r w:rsidR="003277F1" w:rsidRPr="00781187">
        <w:rPr>
          <w:rFonts w:ascii="Nirmala UI" w:hAnsi="Nirmala UI" w:cs="Nirmala UI"/>
        </w:rPr>
        <w:t xml:space="preserve">  </w:t>
      </w:r>
      <w:r w:rsidR="0087194C" w:rsidRPr="00781187">
        <w:rPr>
          <w:rFonts w:ascii="Nirmala UI" w:hAnsi="Nirmala UI" w:cs="Nirmala UI"/>
        </w:rPr>
        <w:t>en materia de Turismo y Medio Ambiente</w:t>
      </w:r>
      <w:r w:rsidR="003277F1" w:rsidRPr="00781187">
        <w:rPr>
          <w:rFonts w:ascii="Nirmala UI" w:hAnsi="Nirmala UI" w:cs="Nirmala UI"/>
        </w:rPr>
        <w:t xml:space="preserve">, respectivamente, </w:t>
      </w:r>
      <w:r w:rsidRPr="00781187">
        <w:rPr>
          <w:rFonts w:ascii="Nirmala UI" w:hAnsi="Nirmala UI" w:cs="Nirmala UI"/>
        </w:rPr>
        <w:t xml:space="preserve">ha elaborado diversos proyectos para la mejora turística </w:t>
      </w:r>
      <w:r w:rsidR="00526AFB" w:rsidRPr="00781187">
        <w:rPr>
          <w:rFonts w:ascii="Nirmala UI" w:hAnsi="Nirmala UI" w:cs="Nirmala UI"/>
        </w:rPr>
        <w:t>de la zona comprendida de los municipios incluidos en la Reserva de la Biosfera de Gran Canaria y el Paisaje Cultural de Risco Caído y las Montañas Sagradas de Gran Canaria, esto es en la totalidad o parte de los municipios de Agaete, Artenara, Gáldar, La Aldea de San Nicolás, Mogán, San Bartolomé de Tirajana, Tejeda y Vega de San Mateo</w:t>
      </w:r>
      <w:r w:rsidR="002F40AC" w:rsidRPr="00781187">
        <w:rPr>
          <w:rFonts w:ascii="Nirmala UI" w:hAnsi="Nirmala UI" w:cs="Nirmala UI"/>
        </w:rPr>
        <w:t xml:space="preserve"> </w:t>
      </w:r>
      <w:r w:rsidRPr="00781187">
        <w:rPr>
          <w:rFonts w:ascii="Nirmala UI" w:hAnsi="Nirmala UI" w:cs="Nirmala UI"/>
        </w:rPr>
        <w:t>en relación con las líneas estratégicas y los programas de la Secretaría de Estado de Turismo y de</w:t>
      </w:r>
      <w:r w:rsidR="00DB07B4" w:rsidRPr="00781187">
        <w:rPr>
          <w:rFonts w:ascii="Nirmala UI" w:hAnsi="Nirmala UI" w:cs="Nirmala UI"/>
        </w:rPr>
        <w:t xml:space="preserve">l </w:t>
      </w:r>
      <w:r w:rsidR="00526AFB" w:rsidRPr="00781187">
        <w:rPr>
          <w:rFonts w:ascii="Nirmala UI" w:hAnsi="Nirmala UI" w:cs="Nirmala UI"/>
        </w:rPr>
        <w:t>Cabildo de Gran Canaria.</w:t>
      </w:r>
      <w:r w:rsidRPr="00781187">
        <w:rPr>
          <w:rFonts w:ascii="Nirmala UI" w:hAnsi="Nirmala UI" w:cs="Nirmala UI"/>
        </w:rPr>
        <w:t xml:space="preserve"> </w:t>
      </w:r>
    </w:p>
    <w:p w14:paraId="76534641" w14:textId="77777777" w:rsidR="00161502" w:rsidRPr="00781187" w:rsidRDefault="00161502" w:rsidP="00161502">
      <w:pPr>
        <w:pStyle w:val="Prrafodelista"/>
        <w:autoSpaceDE w:val="0"/>
        <w:autoSpaceDN w:val="0"/>
        <w:adjustRightInd w:val="0"/>
        <w:spacing w:after="0" w:line="240" w:lineRule="auto"/>
        <w:ind w:left="360"/>
        <w:jc w:val="both"/>
        <w:rPr>
          <w:rFonts w:ascii="Nirmala UI" w:hAnsi="Nirmala UI" w:cs="Nirmala UI"/>
        </w:rPr>
      </w:pPr>
    </w:p>
    <w:p w14:paraId="6A46CD29" w14:textId="5A5F8F8B" w:rsidR="00D4769B" w:rsidRPr="00781187" w:rsidRDefault="00161502" w:rsidP="00A036D8">
      <w:pPr>
        <w:pStyle w:val="Prrafodelista"/>
        <w:numPr>
          <w:ilvl w:val="0"/>
          <w:numId w:val="2"/>
        </w:numPr>
        <w:autoSpaceDE w:val="0"/>
        <w:autoSpaceDN w:val="0"/>
        <w:adjustRightInd w:val="0"/>
        <w:spacing w:after="0" w:line="240" w:lineRule="auto"/>
        <w:jc w:val="both"/>
        <w:rPr>
          <w:rFonts w:ascii="Nirmala UI" w:hAnsi="Nirmala UI" w:cs="Nirmala UI"/>
          <w:color w:val="000000"/>
        </w:rPr>
      </w:pPr>
      <w:r w:rsidRPr="00781187">
        <w:rPr>
          <w:rFonts w:ascii="Nirmala UI" w:hAnsi="Nirmala UI" w:cs="Nirmala UI"/>
        </w:rPr>
        <w:t xml:space="preserve">Que </w:t>
      </w:r>
      <w:r w:rsidR="00D4769B" w:rsidRPr="00781187">
        <w:rPr>
          <w:rFonts w:ascii="Nirmala UI" w:hAnsi="Nirmala UI" w:cs="Nirmala UI"/>
        </w:rPr>
        <w:t xml:space="preserve">la </w:t>
      </w:r>
      <w:r w:rsidR="00C7582B" w:rsidRPr="00781187">
        <w:rPr>
          <w:rFonts w:ascii="Nirmala UI" w:hAnsi="Nirmala UI" w:cs="Nirmala UI"/>
        </w:rPr>
        <w:t xml:space="preserve">Comisión Sectorial </w:t>
      </w:r>
      <w:r w:rsidR="00D4769B" w:rsidRPr="00781187">
        <w:rPr>
          <w:rFonts w:ascii="Nirmala UI" w:hAnsi="Nirmala UI" w:cs="Nirmala UI"/>
        </w:rPr>
        <w:t>de Turismo, celebrada el 25 de junio de 2020, adoptó el documento denominado «Programa de Planes de Soste</w:t>
      </w:r>
      <w:r w:rsidR="00DB07B4" w:rsidRPr="00781187">
        <w:rPr>
          <w:rFonts w:ascii="Nirmala UI" w:hAnsi="Nirmala UI" w:cs="Nirmala UI"/>
        </w:rPr>
        <w:t>nibilidad T</w:t>
      </w:r>
      <w:r w:rsidR="00D4769B" w:rsidRPr="00781187">
        <w:rPr>
          <w:rFonts w:ascii="Nirmala UI" w:hAnsi="Nirmala UI" w:cs="Nirmala UI"/>
        </w:rPr>
        <w:t xml:space="preserve">urística en Destinos», </w:t>
      </w:r>
      <w:r w:rsidR="00DD0D2A" w:rsidRPr="00781187">
        <w:rPr>
          <w:rFonts w:ascii="Nirmala UI" w:hAnsi="Nirmala UI" w:cs="Nirmala UI"/>
        </w:rPr>
        <w:t xml:space="preserve">ratificado en Conferencia Sectorial el </w:t>
      </w:r>
      <w:r w:rsidR="002F7D26" w:rsidRPr="00781187">
        <w:rPr>
          <w:rFonts w:ascii="Nirmala UI" w:hAnsi="Nirmala UI" w:cs="Nirmala UI"/>
        </w:rPr>
        <w:t>13 de julio de 2020</w:t>
      </w:r>
      <w:r w:rsidR="00DD0D2A" w:rsidRPr="00781187">
        <w:rPr>
          <w:rFonts w:ascii="Nirmala UI" w:hAnsi="Nirmala UI" w:cs="Nirmala UI"/>
        </w:rPr>
        <w:t xml:space="preserve">, </w:t>
      </w:r>
      <w:r w:rsidR="00D4769B" w:rsidRPr="00781187">
        <w:rPr>
          <w:rFonts w:ascii="Nirmala UI" w:hAnsi="Nirmala UI" w:cs="Nirmala UI"/>
        </w:rPr>
        <w:t>en desarrollo del Plan de Impulso al Sector Turístico</w:t>
      </w:r>
      <w:r w:rsidR="002F7D26" w:rsidRPr="00781187">
        <w:rPr>
          <w:rFonts w:ascii="Nirmala UI" w:hAnsi="Nirmala UI" w:cs="Nirmala UI"/>
        </w:rPr>
        <w:t>,</w:t>
      </w:r>
      <w:r w:rsidR="00DD0D2A" w:rsidRPr="00781187">
        <w:rPr>
          <w:rFonts w:ascii="Nirmala UI" w:hAnsi="Nirmala UI" w:cs="Nirmala UI"/>
        </w:rPr>
        <w:t xml:space="preserve"> y </w:t>
      </w:r>
      <w:r w:rsidR="00D4769B" w:rsidRPr="00781187">
        <w:rPr>
          <w:rFonts w:ascii="Nirmala UI" w:hAnsi="Nirmala UI" w:cs="Nirmala UI"/>
        </w:rPr>
        <w:t xml:space="preserve">cuyas </w:t>
      </w:r>
      <w:r w:rsidR="00D4769B" w:rsidRPr="00781187">
        <w:rPr>
          <w:rFonts w:ascii="Nirmala UI" w:hAnsi="Nirmala UI" w:cs="Nirmala UI"/>
          <w:color w:val="000000"/>
        </w:rPr>
        <w:t>líneas de actuación son las siguientes:</w:t>
      </w:r>
    </w:p>
    <w:p w14:paraId="393991CF" w14:textId="77777777" w:rsidR="00D4769B" w:rsidRPr="00365BDF" w:rsidRDefault="00D4769B" w:rsidP="00D4769B">
      <w:pPr>
        <w:pStyle w:val="Prrafodelista"/>
        <w:autoSpaceDE w:val="0"/>
        <w:autoSpaceDN w:val="0"/>
        <w:adjustRightInd w:val="0"/>
        <w:spacing w:after="0" w:line="240" w:lineRule="auto"/>
        <w:ind w:left="360"/>
        <w:jc w:val="both"/>
        <w:rPr>
          <w:rFonts w:ascii="Nirmala UI" w:hAnsi="Nirmala UI" w:cs="Nirmala UI"/>
          <w:color w:val="000000"/>
        </w:rPr>
      </w:pPr>
    </w:p>
    <w:p w14:paraId="709B8BF6" w14:textId="77777777" w:rsidR="00D4769B" w:rsidRPr="00365BDF" w:rsidRDefault="00D4769B" w:rsidP="003F6A2A">
      <w:pPr>
        <w:pStyle w:val="Prrafodelista"/>
        <w:numPr>
          <w:ilvl w:val="0"/>
          <w:numId w:val="8"/>
        </w:numPr>
        <w:autoSpaceDE w:val="0"/>
        <w:autoSpaceDN w:val="0"/>
        <w:adjustRightInd w:val="0"/>
        <w:spacing w:after="0" w:line="240" w:lineRule="auto"/>
        <w:jc w:val="both"/>
        <w:rPr>
          <w:rFonts w:ascii="Nirmala UI" w:hAnsi="Nirmala UI" w:cs="Nirmala UI"/>
        </w:rPr>
      </w:pPr>
      <w:r w:rsidRPr="00365BDF">
        <w:rPr>
          <w:rFonts w:ascii="Nirmala UI" w:hAnsi="Nirmala UI" w:cs="Nirmala UI"/>
          <w:bCs/>
        </w:rPr>
        <w:t>Equilibrar el modelo de desarrollo turístico en España, incrementando la sostenibilidad y la capacidad operativa de las EE.LL. y de los gestores de los destinos</w:t>
      </w:r>
      <w:r w:rsidRPr="00365BDF">
        <w:rPr>
          <w:rFonts w:ascii="Nirmala UI" w:hAnsi="Nirmala UI" w:cs="Nirmala UI"/>
        </w:rPr>
        <w:t>.</w:t>
      </w:r>
      <w:r w:rsidRPr="00365BDF">
        <w:rPr>
          <w:rFonts w:ascii="Nirmala UI" w:hAnsi="Nirmala UI" w:cs="Nirmala UI"/>
          <w:bCs/>
        </w:rPr>
        <w:t xml:space="preserve"> </w:t>
      </w:r>
    </w:p>
    <w:p w14:paraId="1A554D70" w14:textId="77777777" w:rsidR="00D4769B" w:rsidRPr="00365BDF" w:rsidRDefault="00D4769B" w:rsidP="00D4769B">
      <w:pPr>
        <w:pStyle w:val="Prrafodelista"/>
        <w:autoSpaceDE w:val="0"/>
        <w:autoSpaceDN w:val="0"/>
        <w:adjustRightInd w:val="0"/>
        <w:spacing w:after="0" w:line="240" w:lineRule="auto"/>
        <w:ind w:left="360"/>
        <w:jc w:val="both"/>
        <w:rPr>
          <w:rFonts w:ascii="Nirmala UI" w:hAnsi="Nirmala UI" w:cs="Nirmala UI"/>
        </w:rPr>
      </w:pPr>
    </w:p>
    <w:p w14:paraId="558878E9" w14:textId="77777777" w:rsidR="00D4769B" w:rsidRPr="00365BDF" w:rsidRDefault="00D4769B" w:rsidP="003F6A2A">
      <w:pPr>
        <w:pStyle w:val="Prrafodelista"/>
        <w:numPr>
          <w:ilvl w:val="0"/>
          <w:numId w:val="8"/>
        </w:numPr>
        <w:autoSpaceDE w:val="0"/>
        <w:autoSpaceDN w:val="0"/>
        <w:adjustRightInd w:val="0"/>
        <w:spacing w:after="0" w:line="240" w:lineRule="auto"/>
        <w:jc w:val="both"/>
        <w:rPr>
          <w:rFonts w:ascii="Nirmala UI" w:hAnsi="Nirmala UI" w:cs="Nirmala UI"/>
        </w:rPr>
      </w:pPr>
      <w:r w:rsidRPr="00365BDF">
        <w:rPr>
          <w:rFonts w:ascii="Nirmala UI" w:hAnsi="Nirmala UI" w:cs="Nirmala UI"/>
        </w:rPr>
        <w:t xml:space="preserve">Establecer un nuevo modelo de cooperación público-privado que supere el marco actual de cooperación puntual, </w:t>
      </w:r>
      <w:r w:rsidRPr="00365BDF">
        <w:rPr>
          <w:rFonts w:ascii="Nirmala UI" w:hAnsi="Nirmala UI" w:cs="Nirmala UI"/>
          <w:bCs/>
        </w:rPr>
        <w:t xml:space="preserve">que responda a la caída de la demanda y a la necesaria adaptación de los destinos turísticos consecuencia de la crisis sanitaria global para y </w:t>
      </w:r>
      <w:r w:rsidRPr="00365BDF">
        <w:rPr>
          <w:rFonts w:ascii="Nirmala UI" w:hAnsi="Nirmala UI" w:cs="Nirmala UI"/>
        </w:rPr>
        <w:t>permita recuperar, mantener y atraer la demanda turística.</w:t>
      </w:r>
    </w:p>
    <w:p w14:paraId="6F935776" w14:textId="77777777" w:rsidR="00D4769B" w:rsidRPr="00365BDF" w:rsidRDefault="00D4769B" w:rsidP="00D4769B">
      <w:pPr>
        <w:pStyle w:val="Prrafodelista"/>
        <w:autoSpaceDE w:val="0"/>
        <w:autoSpaceDN w:val="0"/>
        <w:adjustRightInd w:val="0"/>
        <w:spacing w:after="0" w:line="240" w:lineRule="auto"/>
        <w:ind w:left="360"/>
        <w:jc w:val="both"/>
        <w:rPr>
          <w:rFonts w:ascii="Nirmala UI" w:hAnsi="Nirmala UI" w:cs="Nirmala UI"/>
        </w:rPr>
      </w:pPr>
    </w:p>
    <w:p w14:paraId="028F3B63" w14:textId="77777777" w:rsidR="00D4769B" w:rsidRPr="00365BDF" w:rsidRDefault="00D4769B" w:rsidP="003F6A2A">
      <w:pPr>
        <w:pStyle w:val="Prrafodelista"/>
        <w:numPr>
          <w:ilvl w:val="0"/>
          <w:numId w:val="8"/>
        </w:numPr>
        <w:autoSpaceDE w:val="0"/>
        <w:autoSpaceDN w:val="0"/>
        <w:adjustRightInd w:val="0"/>
        <w:spacing w:after="0" w:line="240" w:lineRule="auto"/>
        <w:jc w:val="both"/>
        <w:rPr>
          <w:rFonts w:ascii="Nirmala UI" w:hAnsi="Nirmala UI" w:cs="Nirmala UI"/>
        </w:rPr>
      </w:pPr>
      <w:r w:rsidRPr="00365BDF">
        <w:rPr>
          <w:rFonts w:ascii="Nirmala UI" w:hAnsi="Nirmala UI" w:cs="Nirmala UI"/>
        </w:rPr>
        <w:t>Mejorar la sostenibilidad, innovación, tecnología, accesibilidad y capacidad de gobernanza de los destinos pioneros y consolidados, y, por otro lado, crear equipamientos y servicios turísticos atractivos y rentables para diversificar la oferta turística y generar empleo para combatir la despoblación en el medio rural, todo ello en consonancia con los Objetivos de Desarrollo Sostenible (ODS) de la Agenda 2030.</w:t>
      </w:r>
    </w:p>
    <w:p w14:paraId="4BE5FFA2" w14:textId="39C92C00" w:rsidR="00D4769B" w:rsidRDefault="00D4769B" w:rsidP="00D4769B">
      <w:pPr>
        <w:autoSpaceDE w:val="0"/>
        <w:autoSpaceDN w:val="0"/>
        <w:adjustRightInd w:val="0"/>
        <w:spacing w:after="0" w:line="240" w:lineRule="auto"/>
        <w:jc w:val="both"/>
        <w:rPr>
          <w:rFonts w:ascii="Nirmala UI" w:hAnsi="Nirmala UI" w:cs="Nirmala UI"/>
        </w:rPr>
      </w:pPr>
    </w:p>
    <w:p w14:paraId="75A9BC6F" w14:textId="77777777" w:rsidR="005E7F78" w:rsidRPr="00365BDF" w:rsidRDefault="005E7F78" w:rsidP="00D4769B">
      <w:pPr>
        <w:autoSpaceDE w:val="0"/>
        <w:autoSpaceDN w:val="0"/>
        <w:adjustRightInd w:val="0"/>
        <w:spacing w:after="0" w:line="240" w:lineRule="auto"/>
        <w:jc w:val="both"/>
        <w:rPr>
          <w:rFonts w:ascii="Nirmala UI" w:hAnsi="Nirmala UI" w:cs="Nirmala UI"/>
        </w:rPr>
      </w:pPr>
    </w:p>
    <w:p w14:paraId="4CF6E992" w14:textId="4F656D3D" w:rsidR="00DB07B4" w:rsidRPr="00C812F0" w:rsidRDefault="00D4769B" w:rsidP="002A5039">
      <w:pPr>
        <w:pStyle w:val="Prrafodelista"/>
        <w:numPr>
          <w:ilvl w:val="0"/>
          <w:numId w:val="2"/>
        </w:numPr>
        <w:autoSpaceDE w:val="0"/>
        <w:autoSpaceDN w:val="0"/>
        <w:adjustRightInd w:val="0"/>
        <w:spacing w:after="0" w:line="240" w:lineRule="auto"/>
        <w:jc w:val="both"/>
        <w:rPr>
          <w:rFonts w:ascii="Nirmala UI" w:hAnsi="Nirmala UI" w:cs="Nirmala UI"/>
        </w:rPr>
      </w:pPr>
      <w:r w:rsidRPr="00C812F0">
        <w:rPr>
          <w:rFonts w:ascii="Nirmala UI" w:hAnsi="Nirmala UI" w:cs="Nirmala UI"/>
        </w:rPr>
        <w:t xml:space="preserve">Que de acuerdo </w:t>
      </w:r>
      <w:r w:rsidR="00C812F0" w:rsidRPr="00C812F0">
        <w:rPr>
          <w:rFonts w:ascii="Nirmala UI" w:hAnsi="Nirmala UI" w:cs="Nirmala UI"/>
        </w:rPr>
        <w:t xml:space="preserve">con lo dispuesto en el </w:t>
      </w:r>
      <w:r w:rsidR="00C812F0" w:rsidRPr="008E59E6">
        <w:rPr>
          <w:rFonts w:ascii="Nirmala UI" w:hAnsi="Nirmala UI" w:cs="Nirmala UI"/>
        </w:rPr>
        <w:t xml:space="preserve">apartado 4 del </w:t>
      </w:r>
      <w:r w:rsidR="00C812F0" w:rsidRPr="00C812F0">
        <w:rPr>
          <w:rFonts w:ascii="Nirmala UI" w:hAnsi="Nirmala UI" w:cs="Nirmala UI"/>
        </w:rPr>
        <w:t xml:space="preserve">artículo </w:t>
      </w:r>
      <w:r w:rsidR="00C812F0" w:rsidRPr="008E59E6">
        <w:rPr>
          <w:rFonts w:ascii="Nirmala UI" w:hAnsi="Nirmala UI" w:cs="Nirmala UI"/>
        </w:rPr>
        <w:t>10 del Real Decreto Ley 25/2020, de 3 de julio, de medidas urgentes para apoyar la reactivación</w:t>
      </w:r>
      <w:r w:rsidR="00C812F0" w:rsidRPr="00C812F0">
        <w:rPr>
          <w:rFonts w:ascii="Nirmala UI" w:hAnsi="Nirmala UI" w:cs="Nirmala UI"/>
          <w:b/>
          <w:color w:val="FF0066"/>
        </w:rPr>
        <w:t xml:space="preserve"> </w:t>
      </w:r>
      <w:r w:rsidR="00C812F0" w:rsidRPr="008E59E6">
        <w:rPr>
          <w:rFonts w:ascii="Nirmala UI" w:hAnsi="Nirmala UI" w:cs="Nirmala UI"/>
        </w:rPr>
        <w:t xml:space="preserve">económica y el empleo, la Secretaría de Estado de Turismo, las comunidades autónomas y, en su caso, las entidades locales competentes por razón del territorio firmarán convenios en los cuales se determinarán las actuaciones a realizar, el importe estimado de la inversión, el plazo de ejecución y el porcentaje de aportación a la financiación de las administraciones participantes, que en el caso de la Secretaría de Estado de Turismo no podrá superar el cincuenta por ciento del total de cada Plan.”  Así como con lo establecido en el artículo </w:t>
      </w:r>
      <w:r w:rsidR="00A90546" w:rsidRPr="00C812F0">
        <w:rPr>
          <w:rFonts w:ascii="Nirmala UI" w:hAnsi="Nirmala UI" w:cs="Nirmala UI"/>
        </w:rPr>
        <w:t xml:space="preserve">143 de la Ley 40/2015, de 1 de octubre, del Régimen Jurídico del Sector Público (LRJSP), las relaciones de cooperación voluntaria entre </w:t>
      </w:r>
      <w:r w:rsidR="00A90546" w:rsidRPr="00C812F0">
        <w:rPr>
          <w:rFonts w:ascii="Nirmala UI" w:hAnsi="Nirmala UI" w:cs="Nirmala UI"/>
          <w:color w:val="000000"/>
        </w:rPr>
        <w:t xml:space="preserve">las Administraciones Públicas se formalizarán de manera expresa por ambas partes a través de los acuerdos en sus órganos de cooperación o en convenios. </w:t>
      </w:r>
      <w:r w:rsidR="00A90546" w:rsidRPr="00C812F0">
        <w:rPr>
          <w:rFonts w:ascii="Nirmala UI" w:hAnsi="Nirmala UI" w:cs="Nirmala UI"/>
        </w:rPr>
        <w:t xml:space="preserve">Según el artículo 47 de la </w:t>
      </w:r>
      <w:r w:rsidR="00487F3B" w:rsidRPr="00C812F0">
        <w:rPr>
          <w:rFonts w:ascii="Nirmala UI" w:hAnsi="Nirmala UI" w:cs="Nirmala UI"/>
        </w:rPr>
        <w:t xml:space="preserve">misma Ley </w:t>
      </w:r>
      <w:r w:rsidR="004F4344" w:rsidRPr="00C812F0">
        <w:rPr>
          <w:rFonts w:ascii="Nirmala UI" w:hAnsi="Nirmala UI" w:cs="Nirmala UI"/>
        </w:rPr>
        <w:t xml:space="preserve">se </w:t>
      </w:r>
      <w:r w:rsidR="00487F3B" w:rsidRPr="00C812F0">
        <w:rPr>
          <w:rFonts w:ascii="Nirmala UI" w:hAnsi="Nirmala UI" w:cs="Nirmala UI"/>
        </w:rPr>
        <w:t xml:space="preserve">indica que podrán suscribirse convenios interadministrativos entre dos o más Administraciones Públicas, o bien entre dos o más organismos públicos o entidades de derecho público vinculados o dependientes de distintas Administraciones públicas, y que podrán incluir la utilización de medios, servicios y recursos de otra Administración pública, organismo público o entidad de derecho público vinculado o dependiente, para el ejercicio de competencias propias o delegadas. </w:t>
      </w:r>
      <w:r w:rsidR="00A90546" w:rsidRPr="00C812F0">
        <w:rPr>
          <w:rFonts w:ascii="Nirmala UI" w:hAnsi="Nirmala UI" w:cs="Nirmala UI"/>
        </w:rPr>
        <w:t xml:space="preserve">Por su parte, el 144 </w:t>
      </w:r>
      <w:r w:rsidR="00487F3B" w:rsidRPr="00C812F0">
        <w:rPr>
          <w:rFonts w:ascii="Nirmala UI" w:hAnsi="Nirmala UI" w:cs="Nirmala UI"/>
        </w:rPr>
        <w:t xml:space="preserve">de dicha Ley indica que </w:t>
      </w:r>
      <w:r w:rsidR="00A90546" w:rsidRPr="00C812F0">
        <w:rPr>
          <w:rFonts w:ascii="Nirmala UI" w:hAnsi="Nirmala UI" w:cs="Nirmala UI"/>
        </w:rPr>
        <w:t xml:space="preserve">los convenios y acuerdos en los que se formalice la cooperación se preverán las condiciones y compromisos que asumen las partes que los suscriben. </w:t>
      </w:r>
    </w:p>
    <w:p w14:paraId="376B59CF" w14:textId="77777777" w:rsidR="00195A84" w:rsidRPr="00365BDF" w:rsidRDefault="00195A84" w:rsidP="00DB07B4">
      <w:pPr>
        <w:autoSpaceDE w:val="0"/>
        <w:autoSpaceDN w:val="0"/>
        <w:adjustRightInd w:val="0"/>
        <w:spacing w:after="0" w:line="240" w:lineRule="auto"/>
        <w:ind w:left="360"/>
        <w:jc w:val="both"/>
        <w:rPr>
          <w:rFonts w:ascii="Nirmala UI" w:hAnsi="Nirmala UI" w:cs="Nirmala UI"/>
        </w:rPr>
      </w:pPr>
      <w:r w:rsidRPr="00365BDF">
        <w:rPr>
          <w:rFonts w:ascii="Nirmala UI" w:hAnsi="Nirmala UI" w:cs="Nirmala UI"/>
          <w:color w:val="000000"/>
        </w:rPr>
        <w:t xml:space="preserve">Además, de acuerdo con lo dispuesto en el artículo 57 de la Ley 7/1985, de 2 de abril, de Bases del Régimen Local, </w:t>
      </w:r>
      <w:r w:rsidRPr="00365BDF">
        <w:rPr>
          <w:rFonts w:ascii="Nirmala UI" w:hAnsi="Nirmala UI" w:cs="Nirmala UI"/>
          <w:color w:val="000000"/>
          <w:shd w:val="clear" w:color="auto" w:fill="FFFFFF"/>
        </w:rPr>
        <w:t xml:space="preserve">la cooperación económica, técnica y administrativa entre la Administración local y las Administraciones del Estado y de las Comunidades Autónomas, se desarrollará con carácter voluntario, mediante los convenios administrativos que suscriban, como el presente. </w:t>
      </w:r>
      <w:r w:rsidR="007D4275" w:rsidRPr="00365BDF">
        <w:rPr>
          <w:rFonts w:ascii="Nirmala UI" w:hAnsi="Nirmala UI" w:cs="Nirmala UI"/>
          <w:color w:val="000000"/>
        </w:rPr>
        <w:t xml:space="preserve">La suscripción de convenios </w:t>
      </w:r>
      <w:r w:rsidRPr="00365BDF">
        <w:rPr>
          <w:rFonts w:ascii="Nirmala UI" w:hAnsi="Nirmala UI" w:cs="Nirmala UI"/>
          <w:color w:val="000000"/>
        </w:rPr>
        <w:t>deberá mejorar la eficiencia de la gestión pública, eliminar duplicidades administrativas y cumplir con la legislación de estabilidad presupuestaria y sostenibilidad financiera.</w:t>
      </w:r>
    </w:p>
    <w:p w14:paraId="2C6136E3" w14:textId="77777777" w:rsidR="00A90546" w:rsidRPr="00365BDF" w:rsidRDefault="00A90546" w:rsidP="00A90546">
      <w:pPr>
        <w:autoSpaceDE w:val="0"/>
        <w:autoSpaceDN w:val="0"/>
        <w:adjustRightInd w:val="0"/>
        <w:spacing w:after="0" w:line="240" w:lineRule="auto"/>
        <w:jc w:val="both"/>
        <w:rPr>
          <w:rFonts w:ascii="Nirmala UI" w:hAnsi="Nirmala UI" w:cs="Nirmala UI"/>
        </w:rPr>
      </w:pPr>
    </w:p>
    <w:p w14:paraId="28837064" w14:textId="0D45B113" w:rsidR="00A90546" w:rsidRPr="00E30FD7" w:rsidRDefault="00195A84" w:rsidP="00581828">
      <w:pPr>
        <w:pStyle w:val="Prrafodelista"/>
        <w:numPr>
          <w:ilvl w:val="0"/>
          <w:numId w:val="2"/>
        </w:numPr>
        <w:autoSpaceDE w:val="0"/>
        <w:autoSpaceDN w:val="0"/>
        <w:adjustRightInd w:val="0"/>
        <w:spacing w:after="0" w:line="240" w:lineRule="auto"/>
        <w:jc w:val="both"/>
        <w:rPr>
          <w:rFonts w:ascii="Nirmala UI" w:hAnsi="Nirmala UI" w:cs="Nirmala UI"/>
        </w:rPr>
      </w:pPr>
      <w:r w:rsidRPr="00E30FD7">
        <w:rPr>
          <w:rFonts w:ascii="Nirmala UI" w:hAnsi="Nirmala UI" w:cs="Nirmala UI"/>
        </w:rPr>
        <w:t>Que la Conferencia Se</w:t>
      </w:r>
      <w:r w:rsidR="00E30FD7" w:rsidRPr="00E30FD7">
        <w:rPr>
          <w:rFonts w:ascii="Nirmala UI" w:hAnsi="Nirmala UI" w:cs="Nirmala UI"/>
        </w:rPr>
        <w:t>ctorial de Turismo celebrada el 30 de septiembre d</w:t>
      </w:r>
      <w:r w:rsidRPr="00E30FD7">
        <w:rPr>
          <w:rFonts w:ascii="Nirmala UI" w:hAnsi="Nirmala UI" w:cs="Nirmala UI"/>
        </w:rPr>
        <w:t>e 2020</w:t>
      </w:r>
      <w:r w:rsidRPr="00E30FD7">
        <w:rPr>
          <w:rFonts w:ascii="Nirmala UI" w:hAnsi="Nirmala UI" w:cs="Nirmala UI"/>
          <w:color w:val="32F828"/>
        </w:rPr>
        <w:t xml:space="preserve"> </w:t>
      </w:r>
      <w:r w:rsidR="004B6385" w:rsidRPr="00E30FD7">
        <w:rPr>
          <w:rFonts w:ascii="Nirmala UI" w:hAnsi="Nirmala UI" w:cs="Nirmala UI"/>
        </w:rPr>
        <w:t>ratificó la aprobación del</w:t>
      </w:r>
      <w:r w:rsidR="004E1877" w:rsidRPr="00E30FD7">
        <w:rPr>
          <w:rFonts w:ascii="Nirmala UI" w:hAnsi="Nirmala UI" w:cs="Nirmala UI"/>
        </w:rPr>
        <w:t xml:space="preserve"> Plan</w:t>
      </w:r>
      <w:r w:rsidRPr="00E30FD7">
        <w:rPr>
          <w:rFonts w:ascii="Nirmala UI" w:hAnsi="Nirmala UI" w:cs="Nirmala UI"/>
        </w:rPr>
        <w:t xml:space="preserve"> de Sostenibilidad Turística </w:t>
      </w:r>
      <w:r w:rsidR="00A07946">
        <w:rPr>
          <w:rFonts w:ascii="Nirmala UI" w:hAnsi="Nirmala UI" w:cs="Nirmala UI"/>
        </w:rPr>
        <w:t>de la</w:t>
      </w:r>
      <w:r w:rsidR="00E30FD7" w:rsidRPr="00E30FD7">
        <w:rPr>
          <w:rFonts w:ascii="Nirmala UI" w:hAnsi="Nirmala UI" w:cs="Nirmala UI"/>
        </w:rPr>
        <w:t xml:space="preserve"> Reserva de la Biosfera de Gran Canaria</w:t>
      </w:r>
      <w:r w:rsidRPr="00E30FD7">
        <w:rPr>
          <w:rFonts w:ascii="Nirmala UI" w:hAnsi="Nirmala UI" w:cs="Nirmala UI"/>
        </w:rPr>
        <w:t xml:space="preserve"> objeto del presente convenio.</w:t>
      </w:r>
    </w:p>
    <w:p w14:paraId="557B8292" w14:textId="77777777" w:rsidR="00DF7BD1" w:rsidRPr="00365BDF" w:rsidRDefault="00DF7BD1" w:rsidP="00DF7BD1">
      <w:pPr>
        <w:pStyle w:val="Default"/>
        <w:rPr>
          <w:rFonts w:ascii="Nirmala UI" w:hAnsi="Nirmala UI" w:cs="Nirmala UI"/>
          <w:sz w:val="22"/>
          <w:szCs w:val="22"/>
        </w:rPr>
      </w:pPr>
    </w:p>
    <w:p w14:paraId="7E4CF77F" w14:textId="77777777" w:rsidR="00195A84" w:rsidRPr="00365BDF" w:rsidRDefault="00195A84" w:rsidP="00195A84">
      <w:pPr>
        <w:pStyle w:val="Pa7"/>
        <w:spacing w:before="160"/>
        <w:ind w:left="360"/>
        <w:jc w:val="both"/>
        <w:rPr>
          <w:rFonts w:ascii="Nirmala UI" w:hAnsi="Nirmala UI" w:cs="Nirmala UI"/>
          <w:color w:val="000000"/>
          <w:sz w:val="22"/>
          <w:szCs w:val="22"/>
        </w:rPr>
      </w:pPr>
      <w:r w:rsidRPr="00365BDF">
        <w:rPr>
          <w:rFonts w:ascii="Nirmala UI" w:hAnsi="Nirmala UI" w:cs="Nirmala UI"/>
          <w:color w:val="000000"/>
          <w:sz w:val="22"/>
          <w:szCs w:val="22"/>
        </w:rPr>
        <w:t xml:space="preserve">En virtud de lo que antecede, las partes firmantes acuerdan suscribir el presente convenio con arreglo a las siguientes </w:t>
      </w:r>
    </w:p>
    <w:p w14:paraId="69BFC8E2" w14:textId="5E4434E7" w:rsidR="00195A84" w:rsidRDefault="00195A84" w:rsidP="00195A84">
      <w:pPr>
        <w:pStyle w:val="Default"/>
        <w:rPr>
          <w:rFonts w:ascii="Nirmala UI" w:hAnsi="Nirmala UI" w:cs="Nirmala UI"/>
          <w:sz w:val="22"/>
          <w:szCs w:val="22"/>
        </w:rPr>
      </w:pPr>
    </w:p>
    <w:p w14:paraId="79AE59BB" w14:textId="0540EE1D" w:rsidR="005E7F78" w:rsidRDefault="005E7F78" w:rsidP="00195A84">
      <w:pPr>
        <w:pStyle w:val="Default"/>
        <w:rPr>
          <w:rFonts w:ascii="Nirmala UI" w:hAnsi="Nirmala UI" w:cs="Nirmala UI"/>
          <w:sz w:val="22"/>
          <w:szCs w:val="22"/>
        </w:rPr>
      </w:pPr>
    </w:p>
    <w:p w14:paraId="26FB7473" w14:textId="4E9F24AF" w:rsidR="005E7F78" w:rsidRDefault="005E7F78" w:rsidP="00195A84">
      <w:pPr>
        <w:pStyle w:val="Default"/>
        <w:rPr>
          <w:rFonts w:ascii="Nirmala UI" w:hAnsi="Nirmala UI" w:cs="Nirmala UI"/>
          <w:sz w:val="22"/>
          <w:szCs w:val="22"/>
        </w:rPr>
      </w:pPr>
    </w:p>
    <w:p w14:paraId="4A4F1EB9" w14:textId="77777777" w:rsidR="005E7F78" w:rsidRPr="00365BDF" w:rsidRDefault="005E7F78" w:rsidP="00195A84">
      <w:pPr>
        <w:pStyle w:val="Default"/>
        <w:rPr>
          <w:rFonts w:ascii="Nirmala UI" w:hAnsi="Nirmala UI" w:cs="Nirmala UI"/>
          <w:sz w:val="22"/>
          <w:szCs w:val="22"/>
        </w:rPr>
      </w:pPr>
    </w:p>
    <w:p w14:paraId="41E2A2F6" w14:textId="77777777" w:rsidR="00D04272" w:rsidRPr="00365BDF" w:rsidRDefault="00195A84" w:rsidP="00195A84">
      <w:pPr>
        <w:autoSpaceDE w:val="0"/>
        <w:autoSpaceDN w:val="0"/>
        <w:adjustRightInd w:val="0"/>
        <w:spacing w:after="0" w:line="240" w:lineRule="auto"/>
        <w:jc w:val="center"/>
        <w:rPr>
          <w:rFonts w:ascii="Nirmala UI" w:hAnsi="Nirmala UI" w:cs="Nirmala UI"/>
        </w:rPr>
      </w:pPr>
      <w:r w:rsidRPr="00365BDF">
        <w:rPr>
          <w:rFonts w:ascii="Nirmala UI" w:hAnsi="Nirmala UI" w:cs="Nirmala UI"/>
          <w:color w:val="000000"/>
        </w:rPr>
        <w:t>CLÁUSULAS</w:t>
      </w:r>
    </w:p>
    <w:p w14:paraId="2E929D32" w14:textId="77777777" w:rsidR="008619B8" w:rsidRPr="00365BDF" w:rsidRDefault="008619B8" w:rsidP="00D04272">
      <w:pPr>
        <w:autoSpaceDE w:val="0"/>
        <w:autoSpaceDN w:val="0"/>
        <w:adjustRightInd w:val="0"/>
        <w:spacing w:after="0" w:line="240" w:lineRule="auto"/>
        <w:jc w:val="both"/>
        <w:rPr>
          <w:rFonts w:ascii="Nirmala UI" w:hAnsi="Nirmala UI" w:cs="Nirmala UI"/>
          <w:b/>
          <w:color w:val="000000"/>
        </w:rPr>
      </w:pPr>
    </w:p>
    <w:p w14:paraId="49A55B3C" w14:textId="77777777" w:rsidR="008619B8" w:rsidRPr="00365BDF" w:rsidRDefault="008619B8" w:rsidP="00D04272">
      <w:pPr>
        <w:autoSpaceDE w:val="0"/>
        <w:autoSpaceDN w:val="0"/>
        <w:adjustRightInd w:val="0"/>
        <w:spacing w:after="0" w:line="240" w:lineRule="auto"/>
        <w:jc w:val="both"/>
        <w:rPr>
          <w:rFonts w:ascii="Nirmala UI" w:hAnsi="Nirmala UI" w:cs="Nirmala UI"/>
          <w:b/>
          <w:color w:val="000000"/>
        </w:rPr>
      </w:pPr>
      <w:r w:rsidRPr="00365BDF">
        <w:rPr>
          <w:rFonts w:ascii="Nirmala UI" w:hAnsi="Nirmala UI" w:cs="Nirmala UI"/>
          <w:b/>
          <w:color w:val="000000"/>
        </w:rPr>
        <w:t xml:space="preserve">Primera. </w:t>
      </w:r>
      <w:r w:rsidRPr="00365BDF">
        <w:rPr>
          <w:rFonts w:ascii="Nirmala UI" w:hAnsi="Nirmala UI" w:cs="Nirmala UI"/>
          <w:b/>
          <w:i/>
          <w:iCs/>
          <w:color w:val="000000"/>
        </w:rPr>
        <w:t>Objeto</w:t>
      </w:r>
    </w:p>
    <w:p w14:paraId="1891CCD4" w14:textId="0CE489A5" w:rsidR="002F40AC" w:rsidRPr="00781187" w:rsidRDefault="00DD0D2A" w:rsidP="00D04272">
      <w:pPr>
        <w:autoSpaceDE w:val="0"/>
        <w:autoSpaceDN w:val="0"/>
        <w:adjustRightInd w:val="0"/>
        <w:spacing w:after="0" w:line="240" w:lineRule="auto"/>
        <w:jc w:val="both"/>
        <w:rPr>
          <w:rFonts w:ascii="Nirmala UI" w:hAnsi="Nirmala UI" w:cs="Nirmala UI"/>
        </w:rPr>
      </w:pPr>
      <w:r w:rsidRPr="00781187">
        <w:rPr>
          <w:rFonts w:ascii="Nirmala UI" w:hAnsi="Nirmala UI" w:cs="Nirmala UI"/>
        </w:rPr>
        <w:t>El presente c</w:t>
      </w:r>
      <w:r w:rsidR="008619B8" w:rsidRPr="00781187">
        <w:rPr>
          <w:rFonts w:ascii="Nirmala UI" w:hAnsi="Nirmala UI" w:cs="Nirmala UI"/>
        </w:rPr>
        <w:t xml:space="preserve">onvenio tiene por objeto articular la colaboración entre las partes firmantes </w:t>
      </w:r>
      <w:r w:rsidR="007D4275" w:rsidRPr="00781187">
        <w:rPr>
          <w:rFonts w:ascii="Nirmala UI" w:hAnsi="Nirmala UI" w:cs="Nirmala UI"/>
        </w:rPr>
        <w:t>con el objetivo de ejecutar el P</w:t>
      </w:r>
      <w:r w:rsidR="008619B8" w:rsidRPr="00781187">
        <w:rPr>
          <w:rFonts w:ascii="Nirmala UI" w:hAnsi="Nirmala UI" w:cs="Nirmala UI"/>
        </w:rPr>
        <w:t xml:space="preserve">lan de </w:t>
      </w:r>
      <w:r w:rsidR="007D4275" w:rsidRPr="00781187">
        <w:rPr>
          <w:rFonts w:ascii="Nirmala UI" w:hAnsi="Nirmala UI" w:cs="Nirmala UI"/>
        </w:rPr>
        <w:t xml:space="preserve">Sostenibilidad Turística </w:t>
      </w:r>
      <w:r w:rsidR="00526AFB" w:rsidRPr="00781187">
        <w:rPr>
          <w:rFonts w:ascii="Nirmala UI" w:hAnsi="Nirmala UI" w:cs="Nirmala UI"/>
        </w:rPr>
        <w:t>de Patrimonio Mundial y Reserva de la Biosfera de Gran Canaria</w:t>
      </w:r>
      <w:r w:rsidR="002F40AC" w:rsidRPr="00781187">
        <w:rPr>
          <w:rFonts w:ascii="Nirmala UI" w:hAnsi="Nirmala UI" w:cs="Nirmala UI"/>
        </w:rPr>
        <w:t>.</w:t>
      </w:r>
    </w:p>
    <w:p w14:paraId="7ADC9A13" w14:textId="77777777" w:rsidR="008619B8" w:rsidRPr="00781187" w:rsidRDefault="008619B8" w:rsidP="00D04272">
      <w:pPr>
        <w:autoSpaceDE w:val="0"/>
        <w:autoSpaceDN w:val="0"/>
        <w:adjustRightInd w:val="0"/>
        <w:spacing w:after="0" w:line="240" w:lineRule="auto"/>
        <w:jc w:val="both"/>
        <w:rPr>
          <w:rFonts w:ascii="Nirmala UI" w:hAnsi="Nirmala UI" w:cs="Nirmala UI"/>
        </w:rPr>
      </w:pPr>
    </w:p>
    <w:p w14:paraId="6B442CA3" w14:textId="20686B29" w:rsidR="00430D33" w:rsidRPr="00781187" w:rsidRDefault="008619B8" w:rsidP="00526AFB">
      <w:pPr>
        <w:autoSpaceDE w:val="0"/>
        <w:autoSpaceDN w:val="0"/>
        <w:adjustRightInd w:val="0"/>
        <w:spacing w:after="0" w:line="240" w:lineRule="auto"/>
        <w:jc w:val="both"/>
        <w:rPr>
          <w:rFonts w:ascii="Nirmala UI" w:hAnsi="Nirmala UI" w:cs="Nirmala UI"/>
        </w:rPr>
      </w:pPr>
      <w:r w:rsidRPr="00781187">
        <w:rPr>
          <w:rFonts w:ascii="Nirmala UI" w:hAnsi="Nirmala UI" w:cs="Nirmala UI"/>
        </w:rPr>
        <w:t>Este plan persigue</w:t>
      </w:r>
      <w:r w:rsidR="00526AFB" w:rsidRPr="00781187">
        <w:rPr>
          <w:rFonts w:ascii="Nirmala UI" w:hAnsi="Nirmala UI" w:cs="Nirmala UI"/>
        </w:rPr>
        <w:t xml:space="preserve"> como objetivo general</w:t>
      </w:r>
      <w:r w:rsidR="002F40AC" w:rsidRPr="00781187">
        <w:rPr>
          <w:rFonts w:ascii="Nirmala UI" w:hAnsi="Nirmala UI" w:cs="Nirmala UI"/>
        </w:rPr>
        <w:t xml:space="preserve"> c</w:t>
      </w:r>
      <w:r w:rsidR="000C6023" w:rsidRPr="00781187">
        <w:rPr>
          <w:rFonts w:ascii="Nirmala UI" w:hAnsi="Nirmala UI" w:cs="Nirmala UI"/>
        </w:rPr>
        <w:t>onvertir</w:t>
      </w:r>
      <w:r w:rsidR="00526AFB" w:rsidRPr="00781187">
        <w:rPr>
          <w:rFonts w:ascii="Nirmala UI" w:hAnsi="Nirmala UI" w:cs="Nirmala UI"/>
        </w:rPr>
        <w:t xml:space="preserve"> el territorio que abarca la Reserva de la Biosfera de Gran Canaria y el Paisaje Cultural de Risco Caído y los Espacios sagrados de montaña de Gran Canaria como una referencia turística sostenible y diferenciada que complemente la oferta de destino y los productos turísticos de Gran Canaria. </w:t>
      </w:r>
    </w:p>
    <w:p w14:paraId="62CCCEE5" w14:textId="77777777" w:rsidR="00430D33" w:rsidRPr="00781187" w:rsidRDefault="00430D33" w:rsidP="00526AFB">
      <w:pPr>
        <w:autoSpaceDE w:val="0"/>
        <w:autoSpaceDN w:val="0"/>
        <w:adjustRightInd w:val="0"/>
        <w:spacing w:after="0" w:line="240" w:lineRule="auto"/>
        <w:jc w:val="both"/>
        <w:rPr>
          <w:rFonts w:ascii="Nirmala UI" w:hAnsi="Nirmala UI" w:cs="Nirmala UI"/>
        </w:rPr>
      </w:pPr>
    </w:p>
    <w:p w14:paraId="60F97EE8" w14:textId="1AA94837" w:rsidR="00526AFB" w:rsidRPr="00781187" w:rsidRDefault="00526AFB" w:rsidP="00526AFB">
      <w:pPr>
        <w:autoSpaceDE w:val="0"/>
        <w:autoSpaceDN w:val="0"/>
        <w:adjustRightInd w:val="0"/>
        <w:spacing w:after="0" w:line="240" w:lineRule="auto"/>
        <w:jc w:val="both"/>
        <w:rPr>
          <w:rFonts w:ascii="Nirmala UI" w:hAnsi="Nirmala UI" w:cs="Nirmala UI"/>
        </w:rPr>
      </w:pPr>
      <w:r w:rsidRPr="00781187">
        <w:rPr>
          <w:rFonts w:ascii="Nirmala UI" w:hAnsi="Nirmala UI" w:cs="Nirmala UI"/>
        </w:rPr>
        <w:t>Los objetivos secundarios son:</w:t>
      </w:r>
    </w:p>
    <w:p w14:paraId="5E866B29" w14:textId="77777777" w:rsidR="00526AFB" w:rsidRPr="00781187" w:rsidRDefault="00526AFB" w:rsidP="00526AFB">
      <w:pPr>
        <w:autoSpaceDE w:val="0"/>
        <w:autoSpaceDN w:val="0"/>
        <w:adjustRightInd w:val="0"/>
        <w:spacing w:after="0" w:line="240" w:lineRule="auto"/>
        <w:jc w:val="both"/>
        <w:rPr>
          <w:rFonts w:ascii="Nirmala UI" w:hAnsi="Nirmala UI" w:cs="Nirmala UI"/>
        </w:rPr>
      </w:pPr>
      <w:r w:rsidRPr="00781187">
        <w:rPr>
          <w:rFonts w:ascii="Nirmala UI" w:hAnsi="Nirmala UI" w:cs="Nirmala UI"/>
        </w:rPr>
        <w:t>•</w:t>
      </w:r>
      <w:r w:rsidRPr="00781187">
        <w:rPr>
          <w:rFonts w:ascii="Nirmala UI" w:hAnsi="Nirmala UI" w:cs="Nirmala UI"/>
        </w:rPr>
        <w:tab/>
        <w:t>Articular y vertebrar todos los recursos naturales, arqueológicos, culturales y etnográficos del territorio de manera que se identifique una oferta agregada, singular y diferenciada.</w:t>
      </w:r>
    </w:p>
    <w:p w14:paraId="65C9FEC6" w14:textId="77777777" w:rsidR="00526AFB" w:rsidRPr="00781187" w:rsidRDefault="00526AFB" w:rsidP="00526AFB">
      <w:pPr>
        <w:autoSpaceDE w:val="0"/>
        <w:autoSpaceDN w:val="0"/>
        <w:adjustRightInd w:val="0"/>
        <w:spacing w:after="0" w:line="240" w:lineRule="auto"/>
        <w:jc w:val="both"/>
        <w:rPr>
          <w:rFonts w:ascii="Nirmala UI" w:hAnsi="Nirmala UI" w:cs="Nirmala UI"/>
        </w:rPr>
      </w:pPr>
      <w:r w:rsidRPr="00781187">
        <w:rPr>
          <w:rFonts w:ascii="Nirmala UI" w:hAnsi="Nirmala UI" w:cs="Nirmala UI"/>
        </w:rPr>
        <w:t>•</w:t>
      </w:r>
      <w:r w:rsidRPr="00781187">
        <w:rPr>
          <w:rFonts w:ascii="Nirmala UI" w:hAnsi="Nirmala UI" w:cs="Nirmala UI"/>
        </w:rPr>
        <w:tab/>
        <w:t>Aprovechar las herramientas avanzadas de las tecnologías digitales y de la información para mejorar la accesibilidad y la promoción de los productos del destino.</w:t>
      </w:r>
    </w:p>
    <w:p w14:paraId="113FEDF0" w14:textId="77777777" w:rsidR="00526AFB" w:rsidRPr="00781187" w:rsidRDefault="00526AFB" w:rsidP="00526AFB">
      <w:pPr>
        <w:autoSpaceDE w:val="0"/>
        <w:autoSpaceDN w:val="0"/>
        <w:adjustRightInd w:val="0"/>
        <w:spacing w:after="0" w:line="240" w:lineRule="auto"/>
        <w:jc w:val="both"/>
        <w:rPr>
          <w:rFonts w:ascii="Nirmala UI" w:hAnsi="Nirmala UI" w:cs="Nirmala UI"/>
        </w:rPr>
      </w:pPr>
      <w:r w:rsidRPr="00781187">
        <w:rPr>
          <w:rFonts w:ascii="Nirmala UI" w:hAnsi="Nirmala UI" w:cs="Nirmala UI"/>
        </w:rPr>
        <w:t>•</w:t>
      </w:r>
      <w:r w:rsidRPr="00781187">
        <w:rPr>
          <w:rFonts w:ascii="Nirmala UI" w:hAnsi="Nirmala UI" w:cs="Nirmala UI"/>
        </w:rPr>
        <w:tab/>
        <w:t>Activar las capacidades profesionales, ciudadanas, empresariales localizadas en el territorio para impulsar su desarrollo sostenible.</w:t>
      </w:r>
    </w:p>
    <w:p w14:paraId="2BD568ED" w14:textId="1C183C83" w:rsidR="002F40AC" w:rsidRPr="00781187" w:rsidRDefault="00526AFB" w:rsidP="00526AFB">
      <w:pPr>
        <w:autoSpaceDE w:val="0"/>
        <w:autoSpaceDN w:val="0"/>
        <w:adjustRightInd w:val="0"/>
        <w:spacing w:after="0" w:line="240" w:lineRule="auto"/>
        <w:jc w:val="both"/>
        <w:rPr>
          <w:rFonts w:ascii="Nirmala UI" w:hAnsi="Nirmala UI" w:cs="Nirmala UI"/>
        </w:rPr>
      </w:pPr>
      <w:r w:rsidRPr="00781187">
        <w:rPr>
          <w:rFonts w:ascii="Nirmala UI" w:hAnsi="Nirmala UI" w:cs="Nirmala UI"/>
        </w:rPr>
        <w:t>•</w:t>
      </w:r>
      <w:r w:rsidRPr="00781187">
        <w:rPr>
          <w:rFonts w:ascii="Nirmala UI" w:hAnsi="Nirmala UI" w:cs="Nirmala UI"/>
        </w:rPr>
        <w:tab/>
        <w:t>Reforzar las estructuras de gestión para la consolidación operativa y la promoción singular del destino.</w:t>
      </w:r>
    </w:p>
    <w:p w14:paraId="3923C2A7" w14:textId="77777777" w:rsidR="002F40AC" w:rsidRPr="00781187" w:rsidRDefault="002F40AC" w:rsidP="00526AFB">
      <w:pPr>
        <w:autoSpaceDE w:val="0"/>
        <w:autoSpaceDN w:val="0"/>
        <w:adjustRightInd w:val="0"/>
        <w:spacing w:after="0" w:line="240" w:lineRule="auto"/>
        <w:jc w:val="both"/>
        <w:rPr>
          <w:rFonts w:ascii="Nirmala UI" w:hAnsi="Nirmala UI" w:cs="Nirmala UI"/>
        </w:rPr>
      </w:pPr>
    </w:p>
    <w:p w14:paraId="565ACF36" w14:textId="77777777" w:rsidR="008619B8" w:rsidRPr="00365BDF" w:rsidRDefault="008619B8" w:rsidP="00D04272">
      <w:pPr>
        <w:autoSpaceDE w:val="0"/>
        <w:autoSpaceDN w:val="0"/>
        <w:adjustRightInd w:val="0"/>
        <w:spacing w:after="0" w:line="240" w:lineRule="auto"/>
        <w:jc w:val="both"/>
        <w:rPr>
          <w:rFonts w:ascii="Nirmala UI" w:hAnsi="Nirmala UI" w:cs="Nirmala UI"/>
          <w:b/>
          <w:i/>
          <w:iCs/>
          <w:color w:val="000000"/>
        </w:rPr>
      </w:pPr>
      <w:r w:rsidRPr="00365BDF">
        <w:rPr>
          <w:rFonts w:ascii="Nirmala UI" w:hAnsi="Nirmala UI" w:cs="Nirmala UI"/>
          <w:b/>
          <w:color w:val="000000"/>
        </w:rPr>
        <w:t xml:space="preserve">Segunda. </w:t>
      </w:r>
      <w:r w:rsidRPr="00365BDF">
        <w:rPr>
          <w:rFonts w:ascii="Nirmala UI" w:hAnsi="Nirmala UI" w:cs="Nirmala UI"/>
          <w:b/>
          <w:i/>
          <w:iCs/>
          <w:color w:val="000000"/>
        </w:rPr>
        <w:t>Compromisos</w:t>
      </w:r>
    </w:p>
    <w:p w14:paraId="74CC2880" w14:textId="47DED343" w:rsidR="008619B8" w:rsidRPr="00365BDF" w:rsidRDefault="008619B8" w:rsidP="00D04272">
      <w:pPr>
        <w:autoSpaceDE w:val="0"/>
        <w:autoSpaceDN w:val="0"/>
        <w:adjustRightInd w:val="0"/>
        <w:spacing w:after="0" w:line="240" w:lineRule="auto"/>
        <w:jc w:val="both"/>
        <w:rPr>
          <w:rFonts w:ascii="Nirmala UI" w:hAnsi="Nirmala UI" w:cs="Nirmala UI"/>
          <w:color w:val="000000"/>
        </w:rPr>
      </w:pPr>
      <w:r w:rsidRPr="00365BDF">
        <w:rPr>
          <w:rFonts w:ascii="Nirmala UI" w:hAnsi="Nirmala UI" w:cs="Nirmala UI"/>
          <w:color w:val="000000"/>
        </w:rPr>
        <w:t>Para la mejor consecución de los objetivos de este Plan, la Secr</w:t>
      </w:r>
      <w:r w:rsidR="00E30FD7">
        <w:rPr>
          <w:rFonts w:ascii="Nirmala UI" w:hAnsi="Nirmala UI" w:cs="Nirmala UI"/>
          <w:color w:val="000000"/>
        </w:rPr>
        <w:t>etaría de Estado de Turismo y la Consejería de Turismo, Industria y Comercio del Gobierno de Canarias</w:t>
      </w:r>
      <w:r w:rsidRPr="004B6385">
        <w:rPr>
          <w:rFonts w:ascii="Nirmala UI" w:hAnsi="Nirmala UI" w:cs="Nirmala UI"/>
          <w:color w:val="92D050"/>
        </w:rPr>
        <w:t xml:space="preserve"> </w:t>
      </w:r>
      <w:r w:rsidRPr="00365BDF">
        <w:rPr>
          <w:rFonts w:ascii="Nirmala UI" w:hAnsi="Nirmala UI" w:cs="Nirmala UI"/>
          <w:color w:val="000000"/>
        </w:rPr>
        <w:t>se comprometen a considerar prioritarios, dentro de sus programas de actuaciones, aquellos proyectos que converjan</w:t>
      </w:r>
      <w:r w:rsidR="00EE0F05">
        <w:rPr>
          <w:rFonts w:ascii="Nirmala UI" w:hAnsi="Nirmala UI" w:cs="Nirmala UI"/>
          <w:color w:val="000000"/>
        </w:rPr>
        <w:t xml:space="preserve"> con </w:t>
      </w:r>
      <w:r w:rsidRPr="00365BDF">
        <w:rPr>
          <w:rFonts w:ascii="Nirmala UI" w:hAnsi="Nirmala UI" w:cs="Nirmala UI"/>
          <w:color w:val="000000"/>
        </w:rPr>
        <w:t>los objetivos de este convenio.</w:t>
      </w:r>
    </w:p>
    <w:p w14:paraId="573AA731" w14:textId="77777777" w:rsidR="008619B8" w:rsidRPr="00365BDF" w:rsidRDefault="008619B8" w:rsidP="00D04272">
      <w:pPr>
        <w:autoSpaceDE w:val="0"/>
        <w:autoSpaceDN w:val="0"/>
        <w:adjustRightInd w:val="0"/>
        <w:spacing w:after="0" w:line="240" w:lineRule="auto"/>
        <w:jc w:val="both"/>
        <w:rPr>
          <w:rFonts w:ascii="Nirmala UI" w:hAnsi="Nirmala UI" w:cs="Nirmala UI"/>
          <w:color w:val="000000"/>
        </w:rPr>
      </w:pPr>
    </w:p>
    <w:p w14:paraId="002CE3D6" w14:textId="59C2E098" w:rsidR="008619B8" w:rsidRPr="00365BDF" w:rsidRDefault="00E30FD7" w:rsidP="00D04272">
      <w:pPr>
        <w:autoSpaceDE w:val="0"/>
        <w:autoSpaceDN w:val="0"/>
        <w:adjustRightInd w:val="0"/>
        <w:spacing w:after="0" w:line="240" w:lineRule="auto"/>
        <w:jc w:val="both"/>
        <w:rPr>
          <w:rFonts w:ascii="Nirmala UI" w:hAnsi="Nirmala UI" w:cs="Nirmala UI"/>
          <w:color w:val="000000"/>
        </w:rPr>
      </w:pPr>
      <w:r>
        <w:rPr>
          <w:rFonts w:ascii="Nirmala UI" w:hAnsi="Nirmala UI" w:cs="Nirmala UI"/>
          <w:color w:val="000000"/>
        </w:rPr>
        <w:t xml:space="preserve">El Cabildo de Gran Canaria </w:t>
      </w:r>
      <w:r w:rsidR="008619B8" w:rsidRPr="00365BDF">
        <w:rPr>
          <w:rFonts w:ascii="Nirmala UI" w:hAnsi="Nirmala UI" w:cs="Nirmala UI"/>
          <w:color w:val="000000"/>
        </w:rPr>
        <w:t>se compromete a ejecutar con la mayor de las diligencias las actuaciones objeto del plan y a destinar los recursos humanos y materiales que sean necesarios para cumplir los plazos de ejecución y maximizar los resultados perseguidos por el mismo.</w:t>
      </w:r>
    </w:p>
    <w:p w14:paraId="44B69325" w14:textId="77777777" w:rsidR="008619B8" w:rsidRPr="00365BDF" w:rsidRDefault="008619B8" w:rsidP="00D04272">
      <w:pPr>
        <w:autoSpaceDE w:val="0"/>
        <w:autoSpaceDN w:val="0"/>
        <w:adjustRightInd w:val="0"/>
        <w:spacing w:after="0" w:line="240" w:lineRule="auto"/>
        <w:jc w:val="both"/>
        <w:rPr>
          <w:rFonts w:ascii="Nirmala UI" w:hAnsi="Nirmala UI" w:cs="Nirmala UI"/>
          <w:color w:val="000000"/>
        </w:rPr>
      </w:pPr>
    </w:p>
    <w:p w14:paraId="2B37CCA8" w14:textId="4D7D6C71" w:rsidR="008619B8" w:rsidRDefault="008619B8" w:rsidP="00D04272">
      <w:pPr>
        <w:autoSpaceDE w:val="0"/>
        <w:autoSpaceDN w:val="0"/>
        <w:adjustRightInd w:val="0"/>
        <w:spacing w:after="0" w:line="240" w:lineRule="auto"/>
        <w:jc w:val="both"/>
        <w:rPr>
          <w:rFonts w:ascii="Nirmala UI" w:hAnsi="Nirmala UI" w:cs="Nirmala UI"/>
          <w:b/>
          <w:i/>
          <w:iCs/>
          <w:color w:val="000000"/>
        </w:rPr>
      </w:pPr>
      <w:r w:rsidRPr="00365BDF">
        <w:rPr>
          <w:rFonts w:ascii="Nirmala UI" w:hAnsi="Nirmala UI" w:cs="Nirmala UI"/>
          <w:b/>
          <w:color w:val="000000"/>
        </w:rPr>
        <w:t xml:space="preserve">Tercera. </w:t>
      </w:r>
      <w:r w:rsidRPr="00365BDF">
        <w:rPr>
          <w:rFonts w:ascii="Nirmala UI" w:hAnsi="Nirmala UI" w:cs="Nirmala UI"/>
          <w:b/>
          <w:i/>
          <w:iCs/>
          <w:color w:val="000000"/>
        </w:rPr>
        <w:t>Coste de las actuaciones y aportaciones de las partes</w:t>
      </w:r>
    </w:p>
    <w:p w14:paraId="40A14BB6" w14:textId="1CCFACCD" w:rsidR="00781187" w:rsidRPr="00365BDF" w:rsidRDefault="00781187" w:rsidP="00D04272">
      <w:pPr>
        <w:autoSpaceDE w:val="0"/>
        <w:autoSpaceDN w:val="0"/>
        <w:adjustRightInd w:val="0"/>
        <w:spacing w:after="0" w:line="240" w:lineRule="auto"/>
        <w:jc w:val="both"/>
        <w:rPr>
          <w:rFonts w:ascii="Nirmala UI" w:hAnsi="Nirmala UI" w:cs="Nirmala UI"/>
          <w:b/>
          <w:i/>
          <w:iCs/>
          <w:color w:val="000000"/>
        </w:rPr>
      </w:pPr>
      <w:r w:rsidRPr="00365BDF">
        <w:rPr>
          <w:rFonts w:ascii="Nirmala UI" w:hAnsi="Nirmala UI" w:cs="Nirmala UI"/>
          <w:color w:val="000000"/>
        </w:rPr>
        <w:t xml:space="preserve">El coste de las actuaciones previstas en el presente convenio se cifra </w:t>
      </w:r>
      <w:r w:rsidRPr="005E14FB">
        <w:rPr>
          <w:rFonts w:ascii="Nirmala UI" w:hAnsi="Nirmala UI" w:cs="Nirmala UI"/>
          <w:b/>
          <w:color w:val="000000"/>
        </w:rPr>
        <w:t>3</w:t>
      </w:r>
      <w:r w:rsidRPr="00E9656E">
        <w:rPr>
          <w:rFonts w:ascii="Nirmala UI" w:hAnsi="Nirmala UI" w:cs="Nirmala UI"/>
          <w:b/>
          <w:color w:val="000000"/>
        </w:rPr>
        <w:t>.000</w:t>
      </w:r>
      <w:r>
        <w:rPr>
          <w:rFonts w:ascii="Nirmala UI" w:hAnsi="Nirmala UI" w:cs="Nirmala UI"/>
          <w:b/>
          <w:color w:val="000000"/>
        </w:rPr>
        <w:t>.000</w:t>
      </w:r>
      <w:r w:rsidRPr="00E30FD7">
        <w:rPr>
          <w:rFonts w:ascii="Nirmala UI" w:hAnsi="Nirmala UI" w:cs="Nirmala UI"/>
          <w:b/>
          <w:color w:val="000000"/>
        </w:rPr>
        <w:t xml:space="preserve"> </w:t>
      </w:r>
      <w:r>
        <w:rPr>
          <w:rFonts w:ascii="Nirmala UI" w:hAnsi="Nirmala UI" w:cs="Nirmala UI"/>
          <w:b/>
          <w:color w:val="000000"/>
        </w:rPr>
        <w:t>de euros</w:t>
      </w:r>
      <w:r w:rsidRPr="00E30FD7">
        <w:rPr>
          <w:rFonts w:ascii="Nirmala UI" w:hAnsi="Nirmala UI" w:cs="Nirmala UI"/>
          <w:b/>
          <w:color w:val="000000"/>
        </w:rPr>
        <w:t>,</w:t>
      </w:r>
      <w:r w:rsidRPr="00365BDF">
        <w:rPr>
          <w:rFonts w:ascii="Nirmala UI" w:hAnsi="Nirmala UI" w:cs="Nirmala UI"/>
          <w:color w:val="000000"/>
        </w:rPr>
        <w:t xml:space="preserve"> que se financiará conjuntamente por las partes firmantes con arreglo a la siguiente distribución:</w:t>
      </w:r>
    </w:p>
    <w:tbl>
      <w:tblPr>
        <w:tblpPr w:leftFromText="180" w:rightFromText="180" w:vertAnchor="text" w:horzAnchor="margin" w:tblpY="747"/>
        <w:tblW w:w="8265" w:type="dxa"/>
        <w:tblLayout w:type="fixed"/>
        <w:tblLook w:val="04A0" w:firstRow="1" w:lastRow="0" w:firstColumn="1" w:lastColumn="0" w:noHBand="0" w:noVBand="1"/>
      </w:tblPr>
      <w:tblGrid>
        <w:gridCol w:w="1962"/>
        <w:gridCol w:w="683"/>
        <w:gridCol w:w="1303"/>
        <w:gridCol w:w="1276"/>
        <w:gridCol w:w="1275"/>
        <w:gridCol w:w="1745"/>
        <w:gridCol w:w="21"/>
      </w:tblGrid>
      <w:tr w:rsidR="005E14FB" w14:paraId="0B7668CA" w14:textId="77777777" w:rsidTr="005E14FB">
        <w:tc>
          <w:tcPr>
            <w:tcW w:w="1962" w:type="dxa"/>
            <w:tcBorders>
              <w:top w:val="single" w:sz="4" w:space="0" w:color="000000"/>
              <w:left w:val="single" w:sz="4" w:space="0" w:color="000000"/>
              <w:bottom w:val="single" w:sz="4" w:space="0" w:color="000000"/>
              <w:right w:val="nil"/>
            </w:tcBorders>
            <w:vAlign w:val="center"/>
          </w:tcPr>
          <w:p w14:paraId="698C1366"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b/>
                <w:sz w:val="16"/>
                <w:szCs w:val="24"/>
              </w:rPr>
            </w:pPr>
          </w:p>
        </w:tc>
        <w:tc>
          <w:tcPr>
            <w:tcW w:w="683" w:type="dxa"/>
            <w:tcBorders>
              <w:top w:val="single" w:sz="4" w:space="0" w:color="000000"/>
              <w:left w:val="single" w:sz="4" w:space="0" w:color="000000"/>
              <w:bottom w:val="single" w:sz="4" w:space="0" w:color="000000"/>
              <w:right w:val="nil"/>
            </w:tcBorders>
            <w:vAlign w:val="center"/>
          </w:tcPr>
          <w:p w14:paraId="3DD1161C"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b/>
                <w:sz w:val="16"/>
                <w:szCs w:val="24"/>
              </w:rPr>
            </w:pPr>
          </w:p>
          <w:p w14:paraId="1949F2C9"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irmala UI" w:hAnsi="Nirmala UI" w:cs="Nirmala UI"/>
                <w:b/>
                <w:sz w:val="16"/>
                <w:szCs w:val="24"/>
              </w:rPr>
            </w:pPr>
          </w:p>
        </w:tc>
        <w:tc>
          <w:tcPr>
            <w:tcW w:w="1303" w:type="dxa"/>
            <w:tcBorders>
              <w:top w:val="single" w:sz="4" w:space="0" w:color="000000"/>
              <w:left w:val="single" w:sz="4" w:space="0" w:color="000000"/>
              <w:bottom w:val="single" w:sz="4" w:space="0" w:color="000000"/>
              <w:right w:val="nil"/>
            </w:tcBorders>
            <w:vAlign w:val="center"/>
            <w:hideMark/>
          </w:tcPr>
          <w:p w14:paraId="44F3CEDA"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b/>
                <w:sz w:val="16"/>
                <w:szCs w:val="24"/>
              </w:rPr>
            </w:pPr>
            <w:r>
              <w:rPr>
                <w:rFonts w:ascii="Nirmala UI" w:hAnsi="Nirmala UI" w:cs="Nirmala UI"/>
                <w:b/>
                <w:sz w:val="16"/>
                <w:szCs w:val="24"/>
              </w:rPr>
              <w:t>1ª anualidad</w:t>
            </w:r>
          </w:p>
        </w:tc>
        <w:tc>
          <w:tcPr>
            <w:tcW w:w="1276" w:type="dxa"/>
            <w:tcBorders>
              <w:top w:val="single" w:sz="4" w:space="0" w:color="000000"/>
              <w:left w:val="single" w:sz="4" w:space="0" w:color="000000"/>
              <w:bottom w:val="single" w:sz="4" w:space="0" w:color="000000"/>
              <w:right w:val="nil"/>
            </w:tcBorders>
            <w:vAlign w:val="center"/>
            <w:hideMark/>
          </w:tcPr>
          <w:p w14:paraId="5853661F"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b/>
                <w:sz w:val="16"/>
                <w:szCs w:val="24"/>
              </w:rPr>
            </w:pPr>
            <w:r>
              <w:rPr>
                <w:rFonts w:ascii="Nirmala UI" w:hAnsi="Nirmala UI" w:cs="Nirmala UI"/>
                <w:b/>
                <w:sz w:val="16"/>
                <w:szCs w:val="24"/>
              </w:rPr>
              <w:t>2ª anualidad</w:t>
            </w:r>
          </w:p>
        </w:tc>
        <w:tc>
          <w:tcPr>
            <w:tcW w:w="1275" w:type="dxa"/>
            <w:tcBorders>
              <w:top w:val="single" w:sz="4" w:space="0" w:color="000000"/>
              <w:left w:val="single" w:sz="4" w:space="0" w:color="000000"/>
              <w:bottom w:val="single" w:sz="4" w:space="0" w:color="000000"/>
              <w:right w:val="nil"/>
            </w:tcBorders>
            <w:vAlign w:val="center"/>
            <w:hideMark/>
          </w:tcPr>
          <w:p w14:paraId="1281A6CE"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b/>
                <w:sz w:val="16"/>
                <w:szCs w:val="24"/>
              </w:rPr>
            </w:pPr>
            <w:r>
              <w:rPr>
                <w:rFonts w:ascii="Nirmala UI" w:hAnsi="Nirmala UI" w:cs="Nirmala UI"/>
                <w:b/>
                <w:sz w:val="16"/>
                <w:szCs w:val="24"/>
              </w:rPr>
              <w:t>3ª anualidad</w:t>
            </w:r>
          </w:p>
        </w:tc>
        <w:tc>
          <w:tcPr>
            <w:tcW w:w="1766" w:type="dxa"/>
            <w:gridSpan w:val="2"/>
            <w:tcBorders>
              <w:top w:val="single" w:sz="4" w:space="0" w:color="000000"/>
              <w:left w:val="single" w:sz="4" w:space="0" w:color="000000"/>
              <w:bottom w:val="single" w:sz="4" w:space="0" w:color="000000"/>
              <w:right w:val="single" w:sz="4" w:space="0" w:color="000000"/>
            </w:tcBorders>
            <w:vAlign w:val="center"/>
            <w:hideMark/>
          </w:tcPr>
          <w:p w14:paraId="12E8E3C3"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b/>
                <w:sz w:val="16"/>
                <w:szCs w:val="24"/>
              </w:rPr>
            </w:pPr>
            <w:r>
              <w:rPr>
                <w:rFonts w:ascii="Nirmala UI" w:hAnsi="Nirmala UI" w:cs="Nirmala UI"/>
                <w:b/>
                <w:sz w:val="16"/>
                <w:szCs w:val="24"/>
              </w:rPr>
              <w:t>Total €</w:t>
            </w:r>
          </w:p>
        </w:tc>
      </w:tr>
      <w:tr w:rsidR="005E14FB" w14:paraId="5C44A16F" w14:textId="77777777" w:rsidTr="005E14FB">
        <w:trPr>
          <w:cantSplit/>
          <w:trHeight w:hRule="exact" w:val="460"/>
        </w:trPr>
        <w:tc>
          <w:tcPr>
            <w:tcW w:w="1962" w:type="dxa"/>
            <w:vMerge w:val="restart"/>
            <w:tcBorders>
              <w:top w:val="single" w:sz="4" w:space="0" w:color="000000"/>
              <w:left w:val="single" w:sz="4" w:space="0" w:color="000000"/>
              <w:bottom w:val="single" w:sz="4" w:space="0" w:color="000000"/>
              <w:right w:val="nil"/>
            </w:tcBorders>
            <w:vAlign w:val="center"/>
            <w:hideMark/>
          </w:tcPr>
          <w:p w14:paraId="589EC2A8"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b/>
                <w:sz w:val="16"/>
                <w:szCs w:val="24"/>
              </w:rPr>
            </w:pPr>
            <w:r>
              <w:rPr>
                <w:rFonts w:ascii="Nirmala UI" w:hAnsi="Nirmala UI" w:cs="Nirmala UI"/>
                <w:b/>
                <w:sz w:val="16"/>
                <w:szCs w:val="24"/>
              </w:rPr>
              <w:t>SECRETARÍA DE ESTADO DE TURISMO</w:t>
            </w:r>
          </w:p>
        </w:tc>
        <w:tc>
          <w:tcPr>
            <w:tcW w:w="683" w:type="dxa"/>
            <w:tcBorders>
              <w:top w:val="single" w:sz="4" w:space="0" w:color="000000"/>
              <w:left w:val="single" w:sz="4" w:space="0" w:color="000000"/>
              <w:bottom w:val="single" w:sz="4" w:space="0" w:color="000000"/>
              <w:right w:val="nil"/>
            </w:tcBorders>
            <w:vAlign w:val="center"/>
            <w:hideMark/>
          </w:tcPr>
          <w:p w14:paraId="5D9E867D"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r>
              <w:rPr>
                <w:rFonts w:ascii="Nirmala UI" w:hAnsi="Nirmala UI" w:cs="Nirmala UI"/>
                <w:sz w:val="16"/>
                <w:szCs w:val="24"/>
              </w:rPr>
              <w:t>2020</w:t>
            </w:r>
          </w:p>
        </w:tc>
        <w:tc>
          <w:tcPr>
            <w:tcW w:w="1303" w:type="dxa"/>
            <w:tcBorders>
              <w:top w:val="single" w:sz="4" w:space="0" w:color="000000"/>
              <w:left w:val="single" w:sz="4" w:space="0" w:color="000000"/>
              <w:bottom w:val="single" w:sz="4" w:space="0" w:color="000000"/>
              <w:right w:val="nil"/>
            </w:tcBorders>
            <w:vAlign w:val="center"/>
            <w:hideMark/>
          </w:tcPr>
          <w:p w14:paraId="259A52FC"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b/>
                <w:sz w:val="16"/>
                <w:szCs w:val="24"/>
              </w:rPr>
            </w:pPr>
            <w:r>
              <w:rPr>
                <w:rFonts w:ascii="Nirmala UI" w:hAnsi="Nirmala UI" w:cs="Nirmala UI"/>
                <w:b/>
                <w:sz w:val="16"/>
                <w:szCs w:val="24"/>
              </w:rPr>
              <w:t>1.000.000 €</w:t>
            </w:r>
          </w:p>
        </w:tc>
        <w:tc>
          <w:tcPr>
            <w:tcW w:w="1276" w:type="dxa"/>
            <w:tcBorders>
              <w:top w:val="single" w:sz="4" w:space="0" w:color="000000"/>
              <w:left w:val="single" w:sz="4" w:space="0" w:color="000000"/>
              <w:bottom w:val="single" w:sz="4" w:space="0" w:color="000000"/>
              <w:right w:val="nil"/>
            </w:tcBorders>
            <w:vAlign w:val="center"/>
          </w:tcPr>
          <w:p w14:paraId="2C6E64C4"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5" w:type="dxa"/>
            <w:tcBorders>
              <w:top w:val="single" w:sz="4" w:space="0" w:color="000000"/>
              <w:left w:val="single" w:sz="4" w:space="0" w:color="000000"/>
              <w:bottom w:val="single" w:sz="4" w:space="0" w:color="000000"/>
              <w:right w:val="nil"/>
            </w:tcBorders>
            <w:vAlign w:val="center"/>
          </w:tcPr>
          <w:p w14:paraId="221C772A"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14:paraId="3914566F" w14:textId="4B911142" w:rsidR="005E14FB" w:rsidRPr="002274B8" w:rsidRDefault="005E7F78"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color w:val="000000" w:themeColor="text1"/>
                <w:sz w:val="16"/>
                <w:szCs w:val="24"/>
              </w:rPr>
            </w:pPr>
            <w:r>
              <w:rPr>
                <w:rFonts w:ascii="Nirmala UI" w:hAnsi="Nirmala UI" w:cs="Nirmala UI"/>
                <w:b/>
                <w:sz w:val="16"/>
                <w:szCs w:val="24"/>
              </w:rPr>
              <w:t>1.000.000 €</w:t>
            </w:r>
          </w:p>
        </w:tc>
      </w:tr>
      <w:tr w:rsidR="005E14FB" w14:paraId="1C17EA1F" w14:textId="77777777" w:rsidTr="005E14FB">
        <w:trPr>
          <w:cantSplit/>
          <w:trHeight w:hRule="exact" w:val="243"/>
        </w:trPr>
        <w:tc>
          <w:tcPr>
            <w:tcW w:w="1962" w:type="dxa"/>
            <w:vMerge/>
            <w:tcBorders>
              <w:top w:val="single" w:sz="4" w:space="0" w:color="000000"/>
              <w:left w:val="single" w:sz="4" w:space="0" w:color="000000"/>
              <w:bottom w:val="single" w:sz="4" w:space="0" w:color="000000"/>
              <w:right w:val="nil"/>
            </w:tcBorders>
            <w:vAlign w:val="center"/>
            <w:hideMark/>
          </w:tcPr>
          <w:p w14:paraId="4FF2199B" w14:textId="77777777" w:rsidR="005E14FB" w:rsidRDefault="005E14FB" w:rsidP="005E14FB">
            <w:pPr>
              <w:spacing w:after="0"/>
              <w:rPr>
                <w:rFonts w:ascii="Nirmala UI" w:hAnsi="Nirmala UI" w:cs="Nirmala UI"/>
                <w:b/>
                <w:sz w:val="16"/>
                <w:szCs w:val="24"/>
              </w:rPr>
            </w:pPr>
          </w:p>
        </w:tc>
        <w:tc>
          <w:tcPr>
            <w:tcW w:w="683" w:type="dxa"/>
            <w:tcBorders>
              <w:top w:val="single" w:sz="4" w:space="0" w:color="000000"/>
              <w:left w:val="single" w:sz="4" w:space="0" w:color="000000"/>
              <w:bottom w:val="single" w:sz="4" w:space="0" w:color="000000"/>
              <w:right w:val="nil"/>
            </w:tcBorders>
            <w:vAlign w:val="center"/>
            <w:hideMark/>
          </w:tcPr>
          <w:p w14:paraId="15CD39EF" w14:textId="77777777" w:rsidR="005E14FB" w:rsidRDefault="005E14FB" w:rsidP="005E14FB">
            <w:pPr>
              <w:snapToGrid w:val="0"/>
              <w:jc w:val="right"/>
              <w:rPr>
                <w:rFonts w:ascii="Nirmala UI" w:hAnsi="Nirmala UI" w:cs="Nirmala UI"/>
                <w:sz w:val="16"/>
                <w:szCs w:val="24"/>
              </w:rPr>
            </w:pPr>
            <w:r>
              <w:rPr>
                <w:rFonts w:ascii="Nirmala UI" w:hAnsi="Nirmala UI" w:cs="Nirmala UI"/>
                <w:sz w:val="16"/>
                <w:szCs w:val="24"/>
              </w:rPr>
              <w:t>2021</w:t>
            </w:r>
          </w:p>
        </w:tc>
        <w:tc>
          <w:tcPr>
            <w:tcW w:w="1303" w:type="dxa"/>
            <w:tcBorders>
              <w:top w:val="single" w:sz="4" w:space="0" w:color="000000"/>
              <w:left w:val="single" w:sz="4" w:space="0" w:color="000000"/>
              <w:bottom w:val="single" w:sz="4" w:space="0" w:color="000000"/>
              <w:right w:val="nil"/>
            </w:tcBorders>
            <w:vAlign w:val="center"/>
          </w:tcPr>
          <w:p w14:paraId="7D344B81"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6" w:type="dxa"/>
            <w:tcBorders>
              <w:top w:val="single" w:sz="4" w:space="0" w:color="000000"/>
              <w:left w:val="single" w:sz="4" w:space="0" w:color="000000"/>
              <w:bottom w:val="single" w:sz="4" w:space="0" w:color="000000"/>
              <w:right w:val="nil"/>
            </w:tcBorders>
            <w:vAlign w:val="center"/>
          </w:tcPr>
          <w:p w14:paraId="5A419138"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5" w:type="dxa"/>
            <w:tcBorders>
              <w:top w:val="single" w:sz="4" w:space="0" w:color="000000"/>
              <w:left w:val="single" w:sz="4" w:space="0" w:color="000000"/>
              <w:bottom w:val="single" w:sz="4" w:space="0" w:color="000000"/>
              <w:right w:val="nil"/>
            </w:tcBorders>
            <w:vAlign w:val="center"/>
          </w:tcPr>
          <w:p w14:paraId="206CE6D7"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14:paraId="0CE08340"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r>
      <w:tr w:rsidR="005E14FB" w14:paraId="0469BF0E" w14:textId="77777777" w:rsidTr="005E14FB">
        <w:trPr>
          <w:cantSplit/>
          <w:trHeight w:hRule="exact" w:val="243"/>
        </w:trPr>
        <w:tc>
          <w:tcPr>
            <w:tcW w:w="1962" w:type="dxa"/>
            <w:vMerge/>
            <w:tcBorders>
              <w:top w:val="single" w:sz="4" w:space="0" w:color="000000"/>
              <w:left w:val="single" w:sz="4" w:space="0" w:color="000000"/>
              <w:bottom w:val="single" w:sz="4" w:space="0" w:color="000000"/>
              <w:right w:val="nil"/>
            </w:tcBorders>
            <w:vAlign w:val="center"/>
            <w:hideMark/>
          </w:tcPr>
          <w:p w14:paraId="5C7D5FC2" w14:textId="77777777" w:rsidR="005E14FB" w:rsidRDefault="005E14FB" w:rsidP="005E14FB">
            <w:pPr>
              <w:spacing w:after="0"/>
              <w:rPr>
                <w:rFonts w:ascii="Nirmala UI" w:hAnsi="Nirmala UI" w:cs="Nirmala UI"/>
                <w:b/>
                <w:sz w:val="16"/>
                <w:szCs w:val="24"/>
              </w:rPr>
            </w:pPr>
          </w:p>
        </w:tc>
        <w:tc>
          <w:tcPr>
            <w:tcW w:w="683" w:type="dxa"/>
            <w:tcBorders>
              <w:top w:val="single" w:sz="4" w:space="0" w:color="000000"/>
              <w:left w:val="single" w:sz="4" w:space="0" w:color="000000"/>
              <w:bottom w:val="single" w:sz="4" w:space="0" w:color="000000"/>
              <w:right w:val="nil"/>
            </w:tcBorders>
            <w:vAlign w:val="center"/>
            <w:hideMark/>
          </w:tcPr>
          <w:p w14:paraId="50CF6DAB" w14:textId="77777777" w:rsidR="005E14FB" w:rsidRDefault="005E14FB" w:rsidP="005E14FB">
            <w:pPr>
              <w:snapToGrid w:val="0"/>
              <w:jc w:val="right"/>
              <w:rPr>
                <w:rFonts w:ascii="Nirmala UI" w:hAnsi="Nirmala UI" w:cs="Nirmala UI"/>
                <w:sz w:val="16"/>
                <w:szCs w:val="24"/>
              </w:rPr>
            </w:pPr>
            <w:r>
              <w:rPr>
                <w:rFonts w:ascii="Nirmala UI" w:hAnsi="Nirmala UI" w:cs="Nirmala UI"/>
                <w:sz w:val="16"/>
                <w:szCs w:val="24"/>
              </w:rPr>
              <w:t>2022</w:t>
            </w:r>
          </w:p>
        </w:tc>
        <w:tc>
          <w:tcPr>
            <w:tcW w:w="1303" w:type="dxa"/>
            <w:tcBorders>
              <w:top w:val="single" w:sz="4" w:space="0" w:color="000000"/>
              <w:left w:val="single" w:sz="4" w:space="0" w:color="000000"/>
              <w:bottom w:val="single" w:sz="4" w:space="0" w:color="000000"/>
              <w:right w:val="nil"/>
            </w:tcBorders>
            <w:vAlign w:val="center"/>
          </w:tcPr>
          <w:p w14:paraId="40AF0AF1"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6" w:type="dxa"/>
            <w:tcBorders>
              <w:top w:val="single" w:sz="4" w:space="0" w:color="000000"/>
              <w:left w:val="single" w:sz="4" w:space="0" w:color="000000"/>
              <w:bottom w:val="single" w:sz="4" w:space="0" w:color="000000"/>
              <w:right w:val="nil"/>
            </w:tcBorders>
            <w:vAlign w:val="center"/>
          </w:tcPr>
          <w:p w14:paraId="1643A6E1"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5" w:type="dxa"/>
            <w:tcBorders>
              <w:top w:val="single" w:sz="4" w:space="0" w:color="000000"/>
              <w:left w:val="single" w:sz="4" w:space="0" w:color="000000"/>
              <w:bottom w:val="single" w:sz="4" w:space="0" w:color="000000"/>
              <w:right w:val="nil"/>
            </w:tcBorders>
            <w:vAlign w:val="center"/>
          </w:tcPr>
          <w:p w14:paraId="3C65CBB9"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14:paraId="284544B6"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r>
      <w:tr w:rsidR="005E14FB" w:rsidRPr="002F724D" w14:paraId="30995ED1" w14:textId="77777777" w:rsidTr="005E14FB">
        <w:trPr>
          <w:gridAfter w:val="1"/>
          <w:wAfter w:w="21" w:type="dxa"/>
        </w:trPr>
        <w:tc>
          <w:tcPr>
            <w:tcW w:w="1962" w:type="dxa"/>
            <w:tcBorders>
              <w:top w:val="single" w:sz="4" w:space="0" w:color="000000"/>
              <w:left w:val="single" w:sz="4" w:space="0" w:color="000000"/>
              <w:bottom w:val="single" w:sz="4" w:space="0" w:color="000000"/>
              <w:right w:val="nil"/>
            </w:tcBorders>
            <w:vAlign w:val="center"/>
            <w:hideMark/>
          </w:tcPr>
          <w:p w14:paraId="67D333C1"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Nirmala UI" w:hAnsi="Nirmala UI" w:cs="Nirmala UI"/>
                <w:b/>
                <w:sz w:val="16"/>
                <w:szCs w:val="24"/>
              </w:rPr>
            </w:pPr>
            <w:r>
              <w:rPr>
                <w:rFonts w:ascii="Nirmala UI" w:hAnsi="Nirmala UI" w:cs="Nirmala UI"/>
                <w:b/>
                <w:sz w:val="16"/>
                <w:szCs w:val="24"/>
              </w:rPr>
              <w:t>TOTAL</w:t>
            </w:r>
          </w:p>
        </w:tc>
        <w:tc>
          <w:tcPr>
            <w:tcW w:w="6282" w:type="dxa"/>
            <w:gridSpan w:val="5"/>
            <w:tcBorders>
              <w:top w:val="single" w:sz="4" w:space="0" w:color="000000"/>
              <w:left w:val="single" w:sz="4" w:space="0" w:color="000000"/>
              <w:bottom w:val="single" w:sz="4" w:space="0" w:color="000000"/>
              <w:right w:val="nil"/>
            </w:tcBorders>
            <w:vAlign w:val="center"/>
            <w:hideMark/>
          </w:tcPr>
          <w:p w14:paraId="2C7571BE" w14:textId="77777777" w:rsidR="005E14FB" w:rsidRPr="002F724D"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b/>
                <w:sz w:val="16"/>
                <w:szCs w:val="24"/>
              </w:rPr>
            </w:pPr>
            <w:r w:rsidRPr="002F724D">
              <w:rPr>
                <w:rFonts w:ascii="Nirmala UI" w:hAnsi="Nirmala UI" w:cs="Nirmala UI"/>
                <w:sz w:val="16"/>
                <w:szCs w:val="24"/>
              </w:rPr>
              <w:t xml:space="preserve">  </w:t>
            </w:r>
            <w:r w:rsidRPr="00FD059F">
              <w:rPr>
                <w:rFonts w:ascii="Nirmala UI" w:hAnsi="Nirmala UI" w:cs="Nirmala UI"/>
                <w:sz w:val="16"/>
                <w:szCs w:val="24"/>
              </w:rPr>
              <w:t>33*%</w:t>
            </w:r>
          </w:p>
        </w:tc>
      </w:tr>
      <w:tr w:rsidR="005E14FB" w14:paraId="63BEC89C" w14:textId="77777777" w:rsidTr="005E14FB">
        <w:trPr>
          <w:cantSplit/>
          <w:trHeight w:hRule="exact" w:val="535"/>
        </w:trPr>
        <w:tc>
          <w:tcPr>
            <w:tcW w:w="1962" w:type="dxa"/>
            <w:vMerge w:val="restart"/>
            <w:tcBorders>
              <w:top w:val="single" w:sz="4" w:space="0" w:color="000000"/>
              <w:left w:val="single" w:sz="4" w:space="0" w:color="000000"/>
              <w:bottom w:val="single" w:sz="4" w:space="0" w:color="000000"/>
              <w:right w:val="nil"/>
            </w:tcBorders>
            <w:vAlign w:val="center"/>
            <w:hideMark/>
          </w:tcPr>
          <w:p w14:paraId="06D734C5"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irmala UI" w:hAnsi="Nirmala UI" w:cs="Nirmala UI"/>
                <w:b/>
                <w:sz w:val="16"/>
                <w:szCs w:val="24"/>
              </w:rPr>
            </w:pPr>
            <w:r>
              <w:rPr>
                <w:rFonts w:ascii="Nirmala UI" w:hAnsi="Nirmala UI" w:cs="Nirmala UI"/>
                <w:b/>
                <w:sz w:val="16"/>
                <w:szCs w:val="24"/>
              </w:rPr>
              <w:t>CONSEJERÍA DE TURISMO, INDUSTRIA Y COMERCIO DE LA COMUNIDAD AUTÓNOMA DE CANARIAS</w:t>
            </w:r>
          </w:p>
        </w:tc>
        <w:tc>
          <w:tcPr>
            <w:tcW w:w="683" w:type="dxa"/>
            <w:tcBorders>
              <w:top w:val="single" w:sz="4" w:space="0" w:color="000000"/>
              <w:left w:val="single" w:sz="4" w:space="0" w:color="000000"/>
              <w:bottom w:val="single" w:sz="4" w:space="0" w:color="000000"/>
              <w:right w:val="nil"/>
            </w:tcBorders>
            <w:vAlign w:val="center"/>
            <w:hideMark/>
          </w:tcPr>
          <w:p w14:paraId="09102FEE"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r>
              <w:rPr>
                <w:rFonts w:ascii="Nirmala UI" w:hAnsi="Nirmala UI" w:cs="Nirmala UI"/>
                <w:sz w:val="16"/>
                <w:szCs w:val="24"/>
              </w:rPr>
              <w:t>2020</w:t>
            </w:r>
          </w:p>
        </w:tc>
        <w:tc>
          <w:tcPr>
            <w:tcW w:w="1303" w:type="dxa"/>
            <w:tcBorders>
              <w:top w:val="single" w:sz="4" w:space="0" w:color="000000"/>
              <w:left w:val="single" w:sz="4" w:space="0" w:color="000000"/>
              <w:bottom w:val="single" w:sz="4" w:space="0" w:color="000000"/>
              <w:right w:val="nil"/>
            </w:tcBorders>
            <w:vAlign w:val="center"/>
            <w:hideMark/>
          </w:tcPr>
          <w:p w14:paraId="4D0B6014" w14:textId="2A97BD95" w:rsidR="005E14FB" w:rsidRPr="00F03C53"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b/>
                <w:sz w:val="16"/>
                <w:szCs w:val="24"/>
              </w:rPr>
            </w:pPr>
          </w:p>
        </w:tc>
        <w:tc>
          <w:tcPr>
            <w:tcW w:w="1276" w:type="dxa"/>
            <w:tcBorders>
              <w:top w:val="single" w:sz="4" w:space="0" w:color="000000"/>
              <w:left w:val="single" w:sz="4" w:space="0" w:color="000000"/>
              <w:bottom w:val="single" w:sz="4" w:space="0" w:color="000000"/>
              <w:right w:val="nil"/>
            </w:tcBorders>
            <w:vAlign w:val="center"/>
          </w:tcPr>
          <w:p w14:paraId="4871B5F5" w14:textId="77777777" w:rsidR="005E14FB" w:rsidRPr="00F03C53"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strike/>
                <w:color w:val="00B0F0"/>
                <w:sz w:val="16"/>
                <w:szCs w:val="24"/>
              </w:rPr>
            </w:pPr>
          </w:p>
        </w:tc>
        <w:tc>
          <w:tcPr>
            <w:tcW w:w="1275" w:type="dxa"/>
            <w:tcBorders>
              <w:top w:val="single" w:sz="4" w:space="0" w:color="000000"/>
              <w:left w:val="single" w:sz="4" w:space="0" w:color="000000"/>
              <w:bottom w:val="single" w:sz="4" w:space="0" w:color="000000"/>
              <w:right w:val="nil"/>
            </w:tcBorders>
            <w:vAlign w:val="center"/>
          </w:tcPr>
          <w:p w14:paraId="4D5E57E9" w14:textId="77777777" w:rsidR="005E14FB" w:rsidRPr="00F03C53"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sz w:val="16"/>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14:paraId="375F72AB" w14:textId="77777777" w:rsidR="005E14FB" w:rsidRPr="00F03C53" w:rsidRDefault="005E14FB" w:rsidP="005E14FB">
            <w:pPr>
              <w:snapToGrid w:val="0"/>
              <w:jc w:val="center"/>
              <w:rPr>
                <w:rFonts w:ascii="Nirmala UI" w:hAnsi="Nirmala UI" w:cs="Nirmala UI"/>
                <w:sz w:val="16"/>
                <w:szCs w:val="24"/>
              </w:rPr>
            </w:pPr>
          </w:p>
        </w:tc>
      </w:tr>
      <w:tr w:rsidR="005E14FB" w14:paraId="4C9B1D86" w14:textId="77777777" w:rsidTr="005E14FB">
        <w:trPr>
          <w:cantSplit/>
          <w:trHeight w:hRule="exact" w:val="557"/>
        </w:trPr>
        <w:tc>
          <w:tcPr>
            <w:tcW w:w="1962" w:type="dxa"/>
            <w:vMerge/>
            <w:tcBorders>
              <w:top w:val="single" w:sz="4" w:space="0" w:color="000000"/>
              <w:left w:val="single" w:sz="4" w:space="0" w:color="000000"/>
              <w:bottom w:val="single" w:sz="4" w:space="0" w:color="000000"/>
              <w:right w:val="nil"/>
            </w:tcBorders>
            <w:vAlign w:val="center"/>
            <w:hideMark/>
          </w:tcPr>
          <w:p w14:paraId="2922F53F" w14:textId="77777777" w:rsidR="005E14FB" w:rsidRDefault="005E14FB" w:rsidP="005E14FB">
            <w:pPr>
              <w:spacing w:after="0"/>
              <w:rPr>
                <w:rFonts w:ascii="Nirmala UI" w:hAnsi="Nirmala UI" w:cs="Nirmala UI"/>
                <w:b/>
                <w:sz w:val="16"/>
                <w:szCs w:val="24"/>
              </w:rPr>
            </w:pPr>
          </w:p>
        </w:tc>
        <w:tc>
          <w:tcPr>
            <w:tcW w:w="683" w:type="dxa"/>
            <w:tcBorders>
              <w:top w:val="single" w:sz="4" w:space="0" w:color="000000"/>
              <w:left w:val="single" w:sz="4" w:space="0" w:color="000000"/>
              <w:bottom w:val="single" w:sz="4" w:space="0" w:color="000000"/>
              <w:right w:val="nil"/>
            </w:tcBorders>
            <w:vAlign w:val="center"/>
            <w:hideMark/>
          </w:tcPr>
          <w:p w14:paraId="3D272CEE" w14:textId="77777777" w:rsidR="005E14FB" w:rsidRDefault="005E14FB" w:rsidP="005E14FB">
            <w:pPr>
              <w:snapToGrid w:val="0"/>
              <w:jc w:val="right"/>
              <w:rPr>
                <w:rFonts w:ascii="Nirmala UI" w:hAnsi="Nirmala UI" w:cs="Nirmala UI"/>
                <w:sz w:val="16"/>
                <w:szCs w:val="24"/>
              </w:rPr>
            </w:pPr>
            <w:r>
              <w:rPr>
                <w:rFonts w:ascii="Nirmala UI" w:hAnsi="Nirmala UI" w:cs="Nirmala UI"/>
                <w:sz w:val="16"/>
                <w:szCs w:val="24"/>
              </w:rPr>
              <w:t>2021</w:t>
            </w:r>
          </w:p>
        </w:tc>
        <w:tc>
          <w:tcPr>
            <w:tcW w:w="1303" w:type="dxa"/>
            <w:tcBorders>
              <w:top w:val="single" w:sz="4" w:space="0" w:color="000000"/>
              <w:left w:val="single" w:sz="4" w:space="0" w:color="000000"/>
              <w:bottom w:val="single" w:sz="4" w:space="0" w:color="000000"/>
              <w:right w:val="nil"/>
            </w:tcBorders>
            <w:vAlign w:val="center"/>
          </w:tcPr>
          <w:p w14:paraId="22F38566" w14:textId="77777777" w:rsidR="005E14FB" w:rsidRPr="00F03C53"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sz w:val="16"/>
                <w:szCs w:val="24"/>
              </w:rPr>
            </w:pPr>
          </w:p>
        </w:tc>
        <w:tc>
          <w:tcPr>
            <w:tcW w:w="1276" w:type="dxa"/>
            <w:tcBorders>
              <w:top w:val="single" w:sz="4" w:space="0" w:color="000000"/>
              <w:left w:val="single" w:sz="4" w:space="0" w:color="000000"/>
              <w:bottom w:val="single" w:sz="4" w:space="0" w:color="000000"/>
              <w:right w:val="nil"/>
            </w:tcBorders>
            <w:vAlign w:val="center"/>
          </w:tcPr>
          <w:p w14:paraId="735152D9" w14:textId="6AF078F6" w:rsidR="005E14FB" w:rsidRPr="00F03C53" w:rsidRDefault="002274B8"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strike/>
                <w:color w:val="00B0F0"/>
                <w:sz w:val="16"/>
                <w:szCs w:val="24"/>
              </w:rPr>
            </w:pPr>
            <w:r>
              <w:rPr>
                <w:rFonts w:ascii="Nirmala UI" w:hAnsi="Nirmala UI" w:cs="Nirmala UI"/>
                <w:b/>
                <w:sz w:val="16"/>
              </w:rPr>
              <w:t>1.000</w:t>
            </w:r>
            <w:r w:rsidRPr="00FD059F">
              <w:rPr>
                <w:rFonts w:ascii="Nirmala UI" w:hAnsi="Nirmala UI" w:cs="Nirmala UI"/>
                <w:b/>
                <w:sz w:val="16"/>
              </w:rPr>
              <w:t>.000 €</w:t>
            </w:r>
          </w:p>
        </w:tc>
        <w:tc>
          <w:tcPr>
            <w:tcW w:w="1275" w:type="dxa"/>
            <w:tcBorders>
              <w:top w:val="single" w:sz="4" w:space="0" w:color="000000"/>
              <w:left w:val="single" w:sz="4" w:space="0" w:color="000000"/>
              <w:bottom w:val="single" w:sz="4" w:space="0" w:color="000000"/>
              <w:right w:val="nil"/>
            </w:tcBorders>
            <w:vAlign w:val="center"/>
          </w:tcPr>
          <w:p w14:paraId="11E442E6" w14:textId="77777777" w:rsidR="005E14FB" w:rsidRPr="00F03C53"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sz w:val="16"/>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14:paraId="7CE732F7" w14:textId="77777777" w:rsidR="005E14FB" w:rsidRPr="00F03C53"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sz w:val="16"/>
                <w:szCs w:val="24"/>
              </w:rPr>
            </w:pPr>
          </w:p>
        </w:tc>
      </w:tr>
      <w:tr w:rsidR="005E14FB" w14:paraId="1B307398" w14:textId="77777777" w:rsidTr="005E14FB">
        <w:trPr>
          <w:cantSplit/>
          <w:trHeight w:hRule="exact" w:val="579"/>
        </w:trPr>
        <w:tc>
          <w:tcPr>
            <w:tcW w:w="1962" w:type="dxa"/>
            <w:vMerge/>
            <w:tcBorders>
              <w:top w:val="single" w:sz="4" w:space="0" w:color="000000"/>
              <w:left w:val="single" w:sz="4" w:space="0" w:color="000000"/>
              <w:bottom w:val="single" w:sz="4" w:space="0" w:color="000000"/>
              <w:right w:val="nil"/>
            </w:tcBorders>
            <w:vAlign w:val="center"/>
            <w:hideMark/>
          </w:tcPr>
          <w:p w14:paraId="75C877D1" w14:textId="77777777" w:rsidR="005E14FB" w:rsidRDefault="005E14FB" w:rsidP="005E14FB">
            <w:pPr>
              <w:spacing w:after="0"/>
              <w:rPr>
                <w:rFonts w:ascii="Nirmala UI" w:hAnsi="Nirmala UI" w:cs="Nirmala UI"/>
                <w:b/>
                <w:sz w:val="16"/>
                <w:szCs w:val="24"/>
              </w:rPr>
            </w:pPr>
          </w:p>
        </w:tc>
        <w:tc>
          <w:tcPr>
            <w:tcW w:w="683" w:type="dxa"/>
            <w:tcBorders>
              <w:top w:val="single" w:sz="4" w:space="0" w:color="000000"/>
              <w:left w:val="single" w:sz="4" w:space="0" w:color="000000"/>
              <w:bottom w:val="single" w:sz="4" w:space="0" w:color="000000"/>
              <w:right w:val="nil"/>
            </w:tcBorders>
            <w:vAlign w:val="center"/>
            <w:hideMark/>
          </w:tcPr>
          <w:p w14:paraId="26A97A79" w14:textId="77777777" w:rsidR="005E14FB" w:rsidRDefault="005E14FB" w:rsidP="005E14FB">
            <w:pPr>
              <w:snapToGrid w:val="0"/>
              <w:jc w:val="right"/>
              <w:rPr>
                <w:rFonts w:ascii="Nirmala UI" w:hAnsi="Nirmala UI" w:cs="Nirmala UI"/>
                <w:sz w:val="16"/>
                <w:szCs w:val="24"/>
              </w:rPr>
            </w:pPr>
            <w:r>
              <w:rPr>
                <w:rFonts w:ascii="Nirmala UI" w:hAnsi="Nirmala UI" w:cs="Nirmala UI"/>
                <w:sz w:val="16"/>
                <w:szCs w:val="24"/>
              </w:rPr>
              <w:t>2022</w:t>
            </w:r>
          </w:p>
        </w:tc>
        <w:tc>
          <w:tcPr>
            <w:tcW w:w="1303" w:type="dxa"/>
            <w:tcBorders>
              <w:top w:val="single" w:sz="4" w:space="0" w:color="000000"/>
              <w:left w:val="single" w:sz="4" w:space="0" w:color="000000"/>
              <w:bottom w:val="single" w:sz="4" w:space="0" w:color="000000"/>
              <w:right w:val="nil"/>
            </w:tcBorders>
            <w:vAlign w:val="center"/>
          </w:tcPr>
          <w:p w14:paraId="4ECC3D03"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6" w:type="dxa"/>
            <w:tcBorders>
              <w:top w:val="single" w:sz="4" w:space="0" w:color="000000"/>
              <w:left w:val="single" w:sz="4" w:space="0" w:color="000000"/>
              <w:bottom w:val="single" w:sz="4" w:space="0" w:color="000000"/>
              <w:right w:val="nil"/>
            </w:tcBorders>
            <w:vAlign w:val="center"/>
          </w:tcPr>
          <w:p w14:paraId="0C4D79C1"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trike/>
                <w:color w:val="00B0F0"/>
                <w:sz w:val="16"/>
                <w:szCs w:val="24"/>
              </w:rPr>
            </w:pPr>
          </w:p>
        </w:tc>
        <w:tc>
          <w:tcPr>
            <w:tcW w:w="1275" w:type="dxa"/>
            <w:tcBorders>
              <w:top w:val="single" w:sz="4" w:space="0" w:color="000000"/>
              <w:left w:val="single" w:sz="4" w:space="0" w:color="000000"/>
              <w:bottom w:val="single" w:sz="4" w:space="0" w:color="000000"/>
              <w:right w:val="nil"/>
            </w:tcBorders>
            <w:vAlign w:val="center"/>
          </w:tcPr>
          <w:p w14:paraId="1344968A"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14:paraId="494FF32A"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r>
      <w:tr w:rsidR="005E14FB" w14:paraId="65E44EC4" w14:textId="77777777" w:rsidTr="005E14FB">
        <w:tc>
          <w:tcPr>
            <w:tcW w:w="1962" w:type="dxa"/>
            <w:tcBorders>
              <w:top w:val="single" w:sz="4" w:space="0" w:color="000000"/>
              <w:left w:val="single" w:sz="4" w:space="0" w:color="000000"/>
              <w:bottom w:val="single" w:sz="4" w:space="0" w:color="000000"/>
              <w:right w:val="nil"/>
            </w:tcBorders>
            <w:vAlign w:val="center"/>
            <w:hideMark/>
          </w:tcPr>
          <w:p w14:paraId="2CCF3FD3"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Nirmala UI" w:hAnsi="Nirmala UI" w:cs="Nirmala UI"/>
                <w:b/>
                <w:sz w:val="16"/>
                <w:szCs w:val="24"/>
              </w:rPr>
            </w:pPr>
            <w:r>
              <w:rPr>
                <w:rFonts w:ascii="Nirmala UI" w:hAnsi="Nirmala UI" w:cs="Nirmala UI"/>
                <w:b/>
                <w:sz w:val="16"/>
                <w:szCs w:val="24"/>
              </w:rPr>
              <w:t>TOTAL</w:t>
            </w:r>
          </w:p>
        </w:tc>
        <w:tc>
          <w:tcPr>
            <w:tcW w:w="683" w:type="dxa"/>
            <w:tcBorders>
              <w:top w:val="single" w:sz="4" w:space="0" w:color="000000"/>
              <w:left w:val="single" w:sz="4" w:space="0" w:color="000000"/>
              <w:bottom w:val="single" w:sz="4" w:space="0" w:color="000000"/>
              <w:right w:val="nil"/>
            </w:tcBorders>
            <w:vAlign w:val="center"/>
          </w:tcPr>
          <w:p w14:paraId="25D03E92" w14:textId="77777777" w:rsidR="005E14FB" w:rsidRDefault="005E14FB" w:rsidP="005E14FB">
            <w:pPr>
              <w:snapToGrid w:val="0"/>
              <w:jc w:val="right"/>
              <w:rPr>
                <w:rFonts w:ascii="Nirmala UI" w:hAnsi="Nirmala UI" w:cs="Nirmala UI"/>
                <w:sz w:val="16"/>
                <w:szCs w:val="24"/>
              </w:rPr>
            </w:pPr>
          </w:p>
        </w:tc>
        <w:tc>
          <w:tcPr>
            <w:tcW w:w="1303" w:type="dxa"/>
            <w:tcBorders>
              <w:top w:val="single" w:sz="4" w:space="0" w:color="000000"/>
              <w:left w:val="single" w:sz="4" w:space="0" w:color="000000"/>
              <w:bottom w:val="single" w:sz="4" w:space="0" w:color="000000"/>
              <w:right w:val="nil"/>
            </w:tcBorders>
            <w:vAlign w:val="center"/>
          </w:tcPr>
          <w:p w14:paraId="40FD345E"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6" w:type="dxa"/>
            <w:tcBorders>
              <w:top w:val="single" w:sz="4" w:space="0" w:color="000000"/>
              <w:left w:val="single" w:sz="4" w:space="0" w:color="000000"/>
              <w:bottom w:val="single" w:sz="4" w:space="0" w:color="000000"/>
              <w:right w:val="nil"/>
            </w:tcBorders>
            <w:vAlign w:val="center"/>
          </w:tcPr>
          <w:p w14:paraId="4CCEBF02"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5" w:type="dxa"/>
            <w:tcBorders>
              <w:top w:val="single" w:sz="4" w:space="0" w:color="000000"/>
              <w:left w:val="single" w:sz="4" w:space="0" w:color="000000"/>
              <w:bottom w:val="single" w:sz="4" w:space="0" w:color="000000"/>
              <w:right w:val="nil"/>
            </w:tcBorders>
            <w:vAlign w:val="center"/>
          </w:tcPr>
          <w:p w14:paraId="328286CB"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hideMark/>
          </w:tcPr>
          <w:p w14:paraId="5479F622" w14:textId="77777777" w:rsidR="005E14FB" w:rsidRPr="00FD059F"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highlight w:val="cyan"/>
              </w:rPr>
            </w:pPr>
            <w:r w:rsidRPr="002F724D">
              <w:rPr>
                <w:rFonts w:ascii="Nirmala UI" w:hAnsi="Nirmala UI" w:cs="Nirmala UI"/>
                <w:sz w:val="16"/>
                <w:szCs w:val="24"/>
              </w:rPr>
              <w:t xml:space="preserve"> </w:t>
            </w:r>
            <w:r w:rsidRPr="00FD059F">
              <w:rPr>
                <w:rFonts w:ascii="Nirmala UI" w:hAnsi="Nirmala UI" w:cs="Nirmala UI"/>
                <w:sz w:val="16"/>
                <w:szCs w:val="24"/>
              </w:rPr>
              <w:t>33*%</w:t>
            </w:r>
          </w:p>
        </w:tc>
      </w:tr>
      <w:tr w:rsidR="005E14FB" w14:paraId="7E443935" w14:textId="77777777" w:rsidTr="005E14FB">
        <w:trPr>
          <w:cantSplit/>
          <w:trHeight w:hRule="exact" w:val="243"/>
        </w:trPr>
        <w:tc>
          <w:tcPr>
            <w:tcW w:w="1962" w:type="dxa"/>
            <w:vMerge w:val="restart"/>
            <w:tcBorders>
              <w:top w:val="single" w:sz="4" w:space="0" w:color="000000"/>
              <w:left w:val="single" w:sz="4" w:space="0" w:color="000000"/>
              <w:bottom w:val="single" w:sz="4" w:space="0" w:color="000000"/>
              <w:right w:val="nil"/>
            </w:tcBorders>
            <w:vAlign w:val="center"/>
            <w:hideMark/>
          </w:tcPr>
          <w:p w14:paraId="02AE9BEF"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Nirmala UI" w:hAnsi="Nirmala UI" w:cs="Nirmala UI"/>
                <w:b/>
                <w:sz w:val="16"/>
                <w:szCs w:val="24"/>
              </w:rPr>
            </w:pPr>
            <w:r>
              <w:rPr>
                <w:rFonts w:ascii="Nirmala UI" w:hAnsi="Nirmala UI" w:cs="Nirmala UI"/>
                <w:b/>
                <w:sz w:val="16"/>
                <w:szCs w:val="24"/>
              </w:rPr>
              <w:t>CABILDO DE GRAN CANARIA</w:t>
            </w:r>
          </w:p>
        </w:tc>
        <w:tc>
          <w:tcPr>
            <w:tcW w:w="683" w:type="dxa"/>
            <w:tcBorders>
              <w:top w:val="single" w:sz="4" w:space="0" w:color="000000"/>
              <w:left w:val="single" w:sz="4" w:space="0" w:color="000000"/>
              <w:bottom w:val="single" w:sz="4" w:space="0" w:color="000000"/>
              <w:right w:val="nil"/>
            </w:tcBorders>
            <w:vAlign w:val="center"/>
            <w:hideMark/>
          </w:tcPr>
          <w:p w14:paraId="7FA0D46C"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r>
              <w:rPr>
                <w:rFonts w:ascii="Nirmala UI" w:hAnsi="Nirmala UI" w:cs="Nirmala UI"/>
                <w:sz w:val="16"/>
                <w:szCs w:val="24"/>
              </w:rPr>
              <w:t>2020</w:t>
            </w:r>
          </w:p>
        </w:tc>
        <w:tc>
          <w:tcPr>
            <w:tcW w:w="1303" w:type="dxa"/>
            <w:tcBorders>
              <w:top w:val="single" w:sz="4" w:space="0" w:color="000000"/>
              <w:left w:val="single" w:sz="4" w:space="0" w:color="000000"/>
              <w:bottom w:val="single" w:sz="4" w:space="0" w:color="000000"/>
              <w:right w:val="nil"/>
            </w:tcBorders>
            <w:vAlign w:val="center"/>
          </w:tcPr>
          <w:p w14:paraId="580220B5"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6" w:type="dxa"/>
            <w:tcBorders>
              <w:top w:val="single" w:sz="4" w:space="0" w:color="000000"/>
              <w:left w:val="single" w:sz="4" w:space="0" w:color="000000"/>
              <w:bottom w:val="single" w:sz="4" w:space="0" w:color="000000"/>
              <w:right w:val="nil"/>
            </w:tcBorders>
            <w:vAlign w:val="center"/>
          </w:tcPr>
          <w:p w14:paraId="64AD98B1"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5" w:type="dxa"/>
            <w:tcBorders>
              <w:top w:val="single" w:sz="4" w:space="0" w:color="000000"/>
              <w:left w:val="single" w:sz="4" w:space="0" w:color="000000"/>
              <w:bottom w:val="single" w:sz="4" w:space="0" w:color="000000"/>
              <w:right w:val="nil"/>
            </w:tcBorders>
            <w:vAlign w:val="center"/>
          </w:tcPr>
          <w:p w14:paraId="72C7AF71"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14:paraId="71A26687" w14:textId="77777777" w:rsidR="005E14FB" w:rsidRDefault="005E14FB" w:rsidP="005E14FB">
            <w:pPr>
              <w:snapToGrid w:val="0"/>
              <w:jc w:val="right"/>
              <w:rPr>
                <w:rFonts w:ascii="Nirmala UI" w:hAnsi="Nirmala UI" w:cs="Nirmala UI"/>
                <w:sz w:val="16"/>
                <w:szCs w:val="24"/>
              </w:rPr>
            </w:pPr>
          </w:p>
        </w:tc>
      </w:tr>
      <w:tr w:rsidR="005E14FB" w14:paraId="03051618" w14:textId="77777777" w:rsidTr="005E14FB">
        <w:trPr>
          <w:cantSplit/>
          <w:trHeight w:hRule="exact" w:val="243"/>
        </w:trPr>
        <w:tc>
          <w:tcPr>
            <w:tcW w:w="1962" w:type="dxa"/>
            <w:vMerge/>
            <w:tcBorders>
              <w:top w:val="single" w:sz="4" w:space="0" w:color="000000"/>
              <w:left w:val="single" w:sz="4" w:space="0" w:color="000000"/>
              <w:bottom w:val="single" w:sz="4" w:space="0" w:color="000000"/>
              <w:right w:val="nil"/>
            </w:tcBorders>
            <w:vAlign w:val="center"/>
            <w:hideMark/>
          </w:tcPr>
          <w:p w14:paraId="1A53A350" w14:textId="77777777" w:rsidR="005E14FB" w:rsidRDefault="005E14FB" w:rsidP="005E14FB">
            <w:pPr>
              <w:spacing w:after="0"/>
              <w:rPr>
                <w:rFonts w:ascii="Nirmala UI" w:hAnsi="Nirmala UI" w:cs="Nirmala UI"/>
                <w:b/>
                <w:sz w:val="16"/>
                <w:szCs w:val="24"/>
              </w:rPr>
            </w:pPr>
          </w:p>
        </w:tc>
        <w:tc>
          <w:tcPr>
            <w:tcW w:w="683" w:type="dxa"/>
            <w:tcBorders>
              <w:top w:val="single" w:sz="4" w:space="0" w:color="000000"/>
              <w:left w:val="single" w:sz="4" w:space="0" w:color="000000"/>
              <w:bottom w:val="single" w:sz="4" w:space="0" w:color="000000"/>
              <w:right w:val="nil"/>
            </w:tcBorders>
            <w:vAlign w:val="center"/>
            <w:hideMark/>
          </w:tcPr>
          <w:p w14:paraId="15ACEDAF" w14:textId="77777777" w:rsidR="005E14FB" w:rsidRDefault="005E14FB" w:rsidP="005E14FB">
            <w:pPr>
              <w:snapToGrid w:val="0"/>
              <w:jc w:val="right"/>
              <w:rPr>
                <w:rFonts w:ascii="Nirmala UI" w:hAnsi="Nirmala UI" w:cs="Nirmala UI"/>
                <w:sz w:val="16"/>
                <w:szCs w:val="24"/>
              </w:rPr>
            </w:pPr>
            <w:r>
              <w:rPr>
                <w:rFonts w:ascii="Nirmala UI" w:hAnsi="Nirmala UI" w:cs="Nirmala UI"/>
                <w:sz w:val="16"/>
                <w:szCs w:val="24"/>
              </w:rPr>
              <w:t>2021</w:t>
            </w:r>
          </w:p>
        </w:tc>
        <w:tc>
          <w:tcPr>
            <w:tcW w:w="1303" w:type="dxa"/>
            <w:tcBorders>
              <w:top w:val="single" w:sz="4" w:space="0" w:color="000000"/>
              <w:left w:val="single" w:sz="4" w:space="0" w:color="000000"/>
              <w:bottom w:val="single" w:sz="4" w:space="0" w:color="000000"/>
              <w:right w:val="nil"/>
            </w:tcBorders>
            <w:vAlign w:val="center"/>
          </w:tcPr>
          <w:p w14:paraId="26272034"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6" w:type="dxa"/>
            <w:tcBorders>
              <w:top w:val="single" w:sz="4" w:space="0" w:color="000000"/>
              <w:left w:val="single" w:sz="4" w:space="0" w:color="000000"/>
              <w:bottom w:val="single" w:sz="4" w:space="0" w:color="000000"/>
              <w:right w:val="nil"/>
            </w:tcBorders>
            <w:vAlign w:val="center"/>
          </w:tcPr>
          <w:p w14:paraId="460B2542"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r>
              <w:rPr>
                <w:rFonts w:ascii="Nirmala UI" w:hAnsi="Nirmala UI" w:cs="Nirmala UI"/>
                <w:b/>
                <w:sz w:val="16"/>
                <w:szCs w:val="24"/>
              </w:rPr>
              <w:t>1</w:t>
            </w:r>
            <w:r w:rsidRPr="005E14FB">
              <w:rPr>
                <w:rFonts w:ascii="Nirmala UI" w:hAnsi="Nirmala UI" w:cs="Nirmala UI"/>
                <w:b/>
                <w:sz w:val="16"/>
                <w:szCs w:val="24"/>
              </w:rPr>
              <w:t>.000.000 €</w:t>
            </w:r>
          </w:p>
        </w:tc>
        <w:tc>
          <w:tcPr>
            <w:tcW w:w="1275" w:type="dxa"/>
            <w:tcBorders>
              <w:top w:val="single" w:sz="4" w:space="0" w:color="000000"/>
              <w:left w:val="single" w:sz="4" w:space="0" w:color="000000"/>
              <w:bottom w:val="single" w:sz="4" w:space="0" w:color="000000"/>
              <w:right w:val="nil"/>
            </w:tcBorders>
            <w:vAlign w:val="center"/>
          </w:tcPr>
          <w:p w14:paraId="34A141EC"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14:paraId="296AD89F"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r>
      <w:tr w:rsidR="005E14FB" w14:paraId="6ECD139B" w14:textId="77777777" w:rsidTr="005E14FB">
        <w:trPr>
          <w:cantSplit/>
          <w:trHeight w:hRule="exact" w:val="529"/>
        </w:trPr>
        <w:tc>
          <w:tcPr>
            <w:tcW w:w="1962" w:type="dxa"/>
            <w:vMerge/>
            <w:tcBorders>
              <w:top w:val="single" w:sz="4" w:space="0" w:color="000000"/>
              <w:left w:val="single" w:sz="4" w:space="0" w:color="000000"/>
              <w:bottom w:val="single" w:sz="4" w:space="0" w:color="000000"/>
              <w:right w:val="nil"/>
            </w:tcBorders>
            <w:vAlign w:val="center"/>
            <w:hideMark/>
          </w:tcPr>
          <w:p w14:paraId="752D5162" w14:textId="77777777" w:rsidR="005E14FB" w:rsidRDefault="005E14FB" w:rsidP="005E14FB">
            <w:pPr>
              <w:spacing w:after="0"/>
              <w:rPr>
                <w:rFonts w:ascii="Nirmala UI" w:hAnsi="Nirmala UI" w:cs="Nirmala UI"/>
                <w:b/>
                <w:sz w:val="16"/>
                <w:szCs w:val="24"/>
              </w:rPr>
            </w:pPr>
          </w:p>
        </w:tc>
        <w:tc>
          <w:tcPr>
            <w:tcW w:w="683" w:type="dxa"/>
            <w:tcBorders>
              <w:top w:val="single" w:sz="4" w:space="0" w:color="000000"/>
              <w:left w:val="single" w:sz="4" w:space="0" w:color="000000"/>
              <w:bottom w:val="single" w:sz="4" w:space="0" w:color="000000"/>
              <w:right w:val="nil"/>
            </w:tcBorders>
            <w:vAlign w:val="center"/>
            <w:hideMark/>
          </w:tcPr>
          <w:p w14:paraId="6698256C" w14:textId="77777777" w:rsidR="005E14FB" w:rsidRDefault="005E14FB" w:rsidP="005E14FB">
            <w:pPr>
              <w:snapToGrid w:val="0"/>
              <w:jc w:val="right"/>
              <w:rPr>
                <w:rFonts w:ascii="Nirmala UI" w:hAnsi="Nirmala UI" w:cs="Nirmala UI"/>
                <w:sz w:val="16"/>
                <w:szCs w:val="24"/>
              </w:rPr>
            </w:pPr>
            <w:r>
              <w:rPr>
                <w:rFonts w:ascii="Nirmala UI" w:hAnsi="Nirmala UI" w:cs="Nirmala UI"/>
                <w:sz w:val="16"/>
                <w:szCs w:val="24"/>
              </w:rPr>
              <w:t>2022</w:t>
            </w:r>
          </w:p>
        </w:tc>
        <w:tc>
          <w:tcPr>
            <w:tcW w:w="1303" w:type="dxa"/>
            <w:tcBorders>
              <w:top w:val="single" w:sz="4" w:space="0" w:color="000000"/>
              <w:left w:val="single" w:sz="4" w:space="0" w:color="000000"/>
              <w:bottom w:val="single" w:sz="4" w:space="0" w:color="000000"/>
              <w:right w:val="nil"/>
            </w:tcBorders>
            <w:vAlign w:val="center"/>
          </w:tcPr>
          <w:p w14:paraId="75E084B6"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6" w:type="dxa"/>
            <w:tcBorders>
              <w:top w:val="single" w:sz="4" w:space="0" w:color="000000"/>
              <w:left w:val="single" w:sz="4" w:space="0" w:color="000000"/>
              <w:bottom w:val="single" w:sz="4" w:space="0" w:color="000000"/>
              <w:right w:val="nil"/>
            </w:tcBorders>
            <w:vAlign w:val="center"/>
          </w:tcPr>
          <w:p w14:paraId="41502A36"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275" w:type="dxa"/>
            <w:tcBorders>
              <w:top w:val="single" w:sz="4" w:space="0" w:color="000000"/>
              <w:left w:val="single" w:sz="4" w:space="0" w:color="000000"/>
              <w:bottom w:val="single" w:sz="4" w:space="0" w:color="000000"/>
              <w:right w:val="nil"/>
            </w:tcBorders>
            <w:vAlign w:val="center"/>
            <w:hideMark/>
          </w:tcPr>
          <w:p w14:paraId="3B702944"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14:paraId="58EBF2C3"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Nirmala UI" w:hAnsi="Nirmala UI" w:cs="Nirmala UI"/>
                <w:sz w:val="16"/>
                <w:szCs w:val="24"/>
              </w:rPr>
            </w:pPr>
          </w:p>
        </w:tc>
      </w:tr>
      <w:tr w:rsidR="005E14FB" w14:paraId="0237F90D" w14:textId="77777777" w:rsidTr="005E14FB">
        <w:trPr>
          <w:gridAfter w:val="1"/>
          <w:wAfter w:w="21" w:type="dxa"/>
          <w:trHeight w:val="161"/>
        </w:trPr>
        <w:tc>
          <w:tcPr>
            <w:tcW w:w="1962" w:type="dxa"/>
            <w:tcBorders>
              <w:top w:val="single" w:sz="4" w:space="0" w:color="000000"/>
              <w:left w:val="single" w:sz="4" w:space="0" w:color="000000"/>
              <w:bottom w:val="single" w:sz="4" w:space="0" w:color="000000"/>
              <w:right w:val="nil"/>
            </w:tcBorders>
            <w:vAlign w:val="center"/>
            <w:hideMark/>
          </w:tcPr>
          <w:p w14:paraId="4C76094F" w14:textId="77777777" w:rsidR="005E14FB" w:rsidRDefault="005E14FB" w:rsidP="005E14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Nirmala UI" w:hAnsi="Nirmala UI" w:cs="Nirmala UI"/>
                <w:b/>
                <w:sz w:val="16"/>
                <w:szCs w:val="24"/>
              </w:rPr>
            </w:pPr>
            <w:r>
              <w:rPr>
                <w:rFonts w:ascii="Nirmala UI" w:hAnsi="Nirmala UI" w:cs="Nirmala UI"/>
                <w:b/>
                <w:sz w:val="16"/>
                <w:szCs w:val="24"/>
              </w:rPr>
              <w:t>TOTAL</w:t>
            </w:r>
          </w:p>
        </w:tc>
        <w:tc>
          <w:tcPr>
            <w:tcW w:w="6282" w:type="dxa"/>
            <w:gridSpan w:val="5"/>
            <w:tcBorders>
              <w:top w:val="single" w:sz="4" w:space="0" w:color="000000"/>
              <w:left w:val="single" w:sz="4" w:space="0" w:color="000000"/>
              <w:bottom w:val="single" w:sz="4" w:space="0" w:color="000000"/>
              <w:right w:val="nil"/>
            </w:tcBorders>
            <w:vAlign w:val="center"/>
            <w:hideMark/>
          </w:tcPr>
          <w:p w14:paraId="674FFA08" w14:textId="6624FFC6" w:rsidR="005E14FB" w:rsidRDefault="005E14FB" w:rsidP="005E14FB">
            <w:pPr>
              <w:pStyle w:val="Contingutdelataula"/>
              <w:suppressLineNumbers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56" w:lineRule="auto"/>
              <w:jc w:val="right"/>
              <w:rPr>
                <w:rFonts w:ascii="Nirmala UI" w:hAnsi="Nirmala UI" w:cs="Nirmala UI"/>
                <w:bCs/>
                <w:sz w:val="16"/>
              </w:rPr>
            </w:pPr>
            <w:r>
              <w:rPr>
                <w:rFonts w:ascii="Nirmala UI" w:hAnsi="Nirmala UI" w:cs="Nirmala UI"/>
                <w:bCs/>
                <w:sz w:val="16"/>
              </w:rPr>
              <w:t>33%</w:t>
            </w:r>
          </w:p>
        </w:tc>
      </w:tr>
      <w:tr w:rsidR="005E14FB" w14:paraId="48027125" w14:textId="77777777" w:rsidTr="005E14FB">
        <w:trPr>
          <w:trHeight w:val="549"/>
        </w:trPr>
        <w:tc>
          <w:tcPr>
            <w:tcW w:w="2645" w:type="dxa"/>
            <w:gridSpan w:val="2"/>
            <w:tcBorders>
              <w:top w:val="single" w:sz="4" w:space="0" w:color="000000"/>
              <w:left w:val="single" w:sz="4" w:space="0" w:color="000000"/>
              <w:bottom w:val="single" w:sz="4" w:space="0" w:color="000000"/>
              <w:right w:val="nil"/>
            </w:tcBorders>
            <w:vAlign w:val="center"/>
            <w:hideMark/>
          </w:tcPr>
          <w:p w14:paraId="385A09AA" w14:textId="77777777" w:rsidR="005E14FB" w:rsidRDefault="005E14FB" w:rsidP="005E14FB">
            <w:pPr>
              <w:pStyle w:val="Ttulo2"/>
              <w:keepNext w:val="0"/>
              <w:rPr>
                <w:rFonts w:ascii="Nirmala UI" w:hAnsi="Nirmala UI" w:cs="Nirmala UI"/>
                <w:b/>
                <w:color w:val="auto"/>
                <w:sz w:val="16"/>
                <w:szCs w:val="24"/>
              </w:rPr>
            </w:pPr>
            <w:r>
              <w:rPr>
                <w:rFonts w:ascii="Nirmala UI" w:hAnsi="Nirmala UI" w:cs="Nirmala UI"/>
                <w:b/>
                <w:color w:val="auto"/>
                <w:sz w:val="16"/>
                <w:szCs w:val="24"/>
              </w:rPr>
              <w:t>TOTAL</w:t>
            </w:r>
          </w:p>
        </w:tc>
        <w:tc>
          <w:tcPr>
            <w:tcW w:w="1303" w:type="dxa"/>
            <w:tcBorders>
              <w:top w:val="single" w:sz="4" w:space="0" w:color="000000"/>
              <w:left w:val="single" w:sz="4" w:space="0" w:color="000000"/>
              <w:bottom w:val="single" w:sz="4" w:space="0" w:color="000000"/>
              <w:right w:val="nil"/>
            </w:tcBorders>
            <w:vAlign w:val="center"/>
            <w:hideMark/>
          </w:tcPr>
          <w:p w14:paraId="7131A376" w14:textId="0B449C65" w:rsidR="005E14FB" w:rsidRDefault="002274B8" w:rsidP="005E14FB">
            <w:pPr>
              <w:pStyle w:val="Contingutdelataula"/>
              <w:suppressLineNumbers w:val="0"/>
              <w:suppressAutoHyphens w:val="0"/>
              <w:snapToGrid w:val="0"/>
              <w:spacing w:line="256" w:lineRule="auto"/>
              <w:jc w:val="right"/>
              <w:rPr>
                <w:rFonts w:ascii="Nirmala UI" w:hAnsi="Nirmala UI" w:cs="Nirmala UI"/>
                <w:b/>
                <w:bCs/>
                <w:sz w:val="16"/>
              </w:rPr>
            </w:pPr>
            <w:r>
              <w:rPr>
                <w:rFonts w:ascii="Nirmala UI" w:hAnsi="Nirmala UI" w:cs="Nirmala UI"/>
                <w:b/>
                <w:sz w:val="16"/>
              </w:rPr>
              <w:t>1</w:t>
            </w:r>
            <w:r w:rsidR="005E14FB">
              <w:rPr>
                <w:rFonts w:ascii="Nirmala UI" w:hAnsi="Nirmala UI" w:cs="Nirmala UI"/>
                <w:b/>
                <w:sz w:val="16"/>
              </w:rPr>
              <w:t>.000.000 €</w:t>
            </w:r>
          </w:p>
        </w:tc>
        <w:tc>
          <w:tcPr>
            <w:tcW w:w="1276" w:type="dxa"/>
            <w:tcBorders>
              <w:top w:val="single" w:sz="4" w:space="0" w:color="000000"/>
              <w:left w:val="single" w:sz="4" w:space="0" w:color="000000"/>
              <w:bottom w:val="single" w:sz="4" w:space="0" w:color="000000"/>
              <w:right w:val="nil"/>
            </w:tcBorders>
            <w:vAlign w:val="center"/>
            <w:hideMark/>
          </w:tcPr>
          <w:p w14:paraId="1858DB82" w14:textId="6E6EBDC5" w:rsidR="005E14FB" w:rsidRPr="00FD059F" w:rsidRDefault="002274B8" w:rsidP="005E14FB">
            <w:pPr>
              <w:pStyle w:val="Contingutdelataula"/>
              <w:suppressLineNumbers w:val="0"/>
              <w:suppressAutoHyphens w:val="0"/>
              <w:snapToGrid w:val="0"/>
              <w:spacing w:line="256" w:lineRule="auto"/>
              <w:jc w:val="right"/>
              <w:rPr>
                <w:rFonts w:ascii="Nirmala UI" w:hAnsi="Nirmala UI" w:cs="Nirmala UI"/>
                <w:b/>
                <w:sz w:val="16"/>
              </w:rPr>
            </w:pPr>
            <w:r>
              <w:rPr>
                <w:rFonts w:ascii="Nirmala UI" w:hAnsi="Nirmala UI" w:cs="Nirmala UI"/>
                <w:b/>
                <w:sz w:val="16"/>
              </w:rPr>
              <w:t>2</w:t>
            </w:r>
            <w:r w:rsidR="005E14FB" w:rsidRPr="00FD059F">
              <w:rPr>
                <w:rFonts w:ascii="Nirmala UI" w:hAnsi="Nirmala UI" w:cs="Nirmala UI"/>
                <w:b/>
                <w:sz w:val="16"/>
              </w:rPr>
              <w:t>.000.000 €</w:t>
            </w:r>
          </w:p>
        </w:tc>
        <w:tc>
          <w:tcPr>
            <w:tcW w:w="1275" w:type="dxa"/>
            <w:tcBorders>
              <w:top w:val="single" w:sz="4" w:space="0" w:color="000000"/>
              <w:left w:val="single" w:sz="4" w:space="0" w:color="000000"/>
              <w:bottom w:val="single" w:sz="4" w:space="0" w:color="000000"/>
              <w:right w:val="nil"/>
            </w:tcBorders>
            <w:vAlign w:val="center"/>
            <w:hideMark/>
          </w:tcPr>
          <w:p w14:paraId="23E9C499" w14:textId="77777777" w:rsidR="005E14FB" w:rsidRDefault="005E14FB" w:rsidP="005E14FB">
            <w:pPr>
              <w:pStyle w:val="Contingutdelataula"/>
              <w:suppressLineNumbers w:val="0"/>
              <w:suppressAutoHyphens w:val="0"/>
              <w:snapToGrid w:val="0"/>
              <w:spacing w:line="256" w:lineRule="auto"/>
              <w:jc w:val="right"/>
              <w:rPr>
                <w:rFonts w:ascii="Nirmala UI" w:hAnsi="Nirmala UI" w:cs="Nirmala UI"/>
                <w:bCs/>
                <w:color w:val="00B050"/>
                <w:sz w:val="16"/>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hideMark/>
          </w:tcPr>
          <w:p w14:paraId="5A27E82A" w14:textId="77777777" w:rsidR="005E14FB" w:rsidRDefault="005E14FB" w:rsidP="005E14FB">
            <w:pPr>
              <w:pStyle w:val="Contingutdelataula"/>
              <w:suppressLineNumbers w:val="0"/>
              <w:suppressAutoHyphens w:val="0"/>
              <w:snapToGrid w:val="0"/>
              <w:spacing w:line="256" w:lineRule="auto"/>
              <w:jc w:val="right"/>
              <w:rPr>
                <w:rFonts w:ascii="Nirmala UI" w:hAnsi="Nirmala UI" w:cs="Nirmala UI"/>
                <w:b/>
                <w:sz w:val="16"/>
              </w:rPr>
            </w:pPr>
            <w:r>
              <w:rPr>
                <w:rFonts w:ascii="Nirmala UI" w:hAnsi="Nirmala UI" w:cs="Nirmala UI"/>
                <w:b/>
                <w:sz w:val="16"/>
              </w:rPr>
              <w:t>3.000.000 €</w:t>
            </w:r>
          </w:p>
        </w:tc>
      </w:tr>
    </w:tbl>
    <w:p w14:paraId="7D66A5D1" w14:textId="77777777" w:rsidR="00781187" w:rsidRDefault="00781187" w:rsidP="00D04272">
      <w:pPr>
        <w:autoSpaceDE w:val="0"/>
        <w:autoSpaceDN w:val="0"/>
        <w:adjustRightInd w:val="0"/>
        <w:spacing w:after="0" w:line="240" w:lineRule="auto"/>
        <w:jc w:val="both"/>
        <w:rPr>
          <w:rFonts w:ascii="Nirmala UI" w:hAnsi="Nirmala UI" w:cs="Nirmala UI"/>
          <w:color w:val="000000"/>
        </w:rPr>
      </w:pPr>
    </w:p>
    <w:p w14:paraId="6D791003" w14:textId="25CA10C8" w:rsidR="004D614C" w:rsidRDefault="004D614C" w:rsidP="00D04272">
      <w:pPr>
        <w:autoSpaceDE w:val="0"/>
        <w:autoSpaceDN w:val="0"/>
        <w:adjustRightInd w:val="0"/>
        <w:spacing w:after="0" w:line="240" w:lineRule="auto"/>
        <w:jc w:val="both"/>
        <w:rPr>
          <w:rFonts w:ascii="Nirmala UI" w:hAnsi="Nirmala UI" w:cs="Nirmala UI"/>
          <w:color w:val="000000"/>
        </w:rPr>
      </w:pPr>
    </w:p>
    <w:p w14:paraId="64FB2210" w14:textId="77777777" w:rsidR="00D659FB" w:rsidRPr="00365BDF" w:rsidRDefault="00D659FB" w:rsidP="00D659FB">
      <w:pPr>
        <w:pStyle w:val="Sinespaciado"/>
        <w:rPr>
          <w:rFonts w:ascii="Nirmala UI" w:hAnsi="Nirmala UI" w:cs="Nirmala UI"/>
          <w:b/>
          <w:i/>
        </w:rPr>
      </w:pPr>
      <w:r w:rsidRPr="00365BDF">
        <w:rPr>
          <w:rFonts w:ascii="Nirmala UI" w:hAnsi="Nirmala UI" w:cs="Nirmala UI"/>
          <w:b/>
        </w:rPr>
        <w:t>Cuarta.</w:t>
      </w:r>
      <w:r w:rsidRPr="00365BDF">
        <w:rPr>
          <w:rFonts w:ascii="Nirmala UI" w:hAnsi="Nirmala UI" w:cs="Nirmala UI"/>
          <w:b/>
          <w:i/>
        </w:rPr>
        <w:t xml:space="preserve"> Aportación de la Secretaría de Estado de Turismo</w:t>
      </w:r>
    </w:p>
    <w:p w14:paraId="1156A5F1" w14:textId="1D74CB9C" w:rsidR="00D659FB" w:rsidRPr="00365BDF" w:rsidRDefault="00D659FB" w:rsidP="004E53AE">
      <w:pPr>
        <w:pStyle w:val="Sinespaciado"/>
        <w:numPr>
          <w:ilvl w:val="0"/>
          <w:numId w:val="4"/>
        </w:numPr>
        <w:jc w:val="both"/>
        <w:rPr>
          <w:rFonts w:ascii="Nirmala UI" w:hAnsi="Nirmala UI" w:cs="Nirmala UI"/>
        </w:rPr>
      </w:pPr>
      <w:r w:rsidRPr="00365BDF">
        <w:rPr>
          <w:rFonts w:ascii="Nirmala UI" w:hAnsi="Nirmala UI" w:cs="Nirmala UI"/>
        </w:rPr>
        <w:t>Las aportaciones de la Secretaría de Estado de Turismo</w:t>
      </w:r>
      <w:r w:rsidR="004E53AE">
        <w:rPr>
          <w:rFonts w:ascii="Nirmala UI" w:hAnsi="Nirmala UI" w:cs="Nirmala UI"/>
        </w:rPr>
        <w:t xml:space="preserve"> </w:t>
      </w:r>
      <w:r w:rsidRPr="00365BDF">
        <w:rPr>
          <w:rFonts w:ascii="Nirmala UI" w:hAnsi="Nirmala UI" w:cs="Nirmala UI"/>
        </w:rPr>
        <w:t>se efectuarán con cargo a l</w:t>
      </w:r>
      <w:r w:rsidR="0046317F" w:rsidRPr="00365BDF">
        <w:rPr>
          <w:rFonts w:ascii="Nirmala UI" w:hAnsi="Nirmala UI" w:cs="Nirmala UI"/>
        </w:rPr>
        <w:t xml:space="preserve">a </w:t>
      </w:r>
      <w:r w:rsidRPr="00365BDF">
        <w:rPr>
          <w:rFonts w:ascii="Nirmala UI" w:hAnsi="Nirmala UI" w:cs="Nirmala UI"/>
        </w:rPr>
        <w:t>aplicación presupuestaria</w:t>
      </w:r>
      <w:r w:rsidR="004E53AE">
        <w:rPr>
          <w:rFonts w:ascii="Nirmala UI" w:hAnsi="Nirmala UI" w:cs="Nirmala UI"/>
        </w:rPr>
        <w:t xml:space="preserve"> </w:t>
      </w:r>
      <w:r w:rsidR="002F0D20" w:rsidRPr="00365BDF">
        <w:rPr>
          <w:rFonts w:ascii="Nirmala UI" w:hAnsi="Nirmala UI" w:cs="Nirmala UI"/>
        </w:rPr>
        <w:t>20.04</w:t>
      </w:r>
      <w:r w:rsidRPr="00365BDF">
        <w:rPr>
          <w:rFonts w:ascii="Nirmala UI" w:hAnsi="Nirmala UI" w:cs="Nirmala UI"/>
          <w:color w:val="32F828"/>
        </w:rPr>
        <w:t xml:space="preserve"> </w:t>
      </w:r>
      <w:r w:rsidR="002F0D20" w:rsidRPr="00365BDF">
        <w:rPr>
          <w:rFonts w:ascii="Nirmala UI" w:hAnsi="Nirmala UI" w:cs="Nirmala UI"/>
        </w:rPr>
        <w:t>432A</w:t>
      </w:r>
      <w:r w:rsidRPr="00365BDF">
        <w:rPr>
          <w:rFonts w:ascii="Nirmala UI" w:hAnsi="Nirmala UI" w:cs="Nirmala UI"/>
        </w:rPr>
        <w:t xml:space="preserve"> </w:t>
      </w:r>
      <w:r w:rsidR="002A3B2F">
        <w:rPr>
          <w:rFonts w:ascii="Nirmala UI" w:hAnsi="Nirmala UI" w:cs="Nirmala UI"/>
        </w:rPr>
        <w:t>763</w:t>
      </w:r>
      <w:r w:rsidR="002F0D20" w:rsidRPr="00365BDF">
        <w:rPr>
          <w:rFonts w:ascii="Nirmala UI" w:hAnsi="Nirmala UI" w:cs="Nirmala UI"/>
        </w:rPr>
        <w:t>.</w:t>
      </w:r>
      <w:r w:rsidR="002A3B2F">
        <w:rPr>
          <w:rFonts w:ascii="Nirmala UI" w:hAnsi="Nirmala UI" w:cs="Nirmala UI"/>
        </w:rPr>
        <w:t>00</w:t>
      </w:r>
      <w:r w:rsidRPr="00365BDF">
        <w:rPr>
          <w:rFonts w:ascii="Nirmala UI" w:hAnsi="Nirmala UI" w:cs="Nirmala UI"/>
        </w:rPr>
        <w:t xml:space="preserve"> (</w:t>
      </w:r>
      <w:r w:rsidRPr="002A3B2F">
        <w:rPr>
          <w:rFonts w:ascii="Nirmala UI" w:hAnsi="Nirmala UI" w:cs="Nirmala UI"/>
        </w:rPr>
        <w:t>ejercicio 2020</w:t>
      </w:r>
      <w:r w:rsidRPr="00365BDF">
        <w:rPr>
          <w:rFonts w:ascii="Nirmala UI" w:hAnsi="Nirmala UI" w:cs="Nirmala UI"/>
        </w:rPr>
        <w:t xml:space="preserve">) o concepto </w:t>
      </w:r>
      <w:r w:rsidR="004E53AE">
        <w:rPr>
          <w:rFonts w:ascii="Nirmala UI" w:hAnsi="Nirmala UI" w:cs="Nirmala UI"/>
        </w:rPr>
        <w:t>equivalen</w:t>
      </w:r>
      <w:r w:rsidRPr="00365BDF">
        <w:rPr>
          <w:rFonts w:ascii="Nirmala UI" w:hAnsi="Nirmala UI" w:cs="Nirmala UI"/>
        </w:rPr>
        <w:t xml:space="preserve">te en años sucesivos. </w:t>
      </w:r>
    </w:p>
    <w:p w14:paraId="4428D821" w14:textId="77777777" w:rsidR="00D659FB" w:rsidRPr="00365BDF" w:rsidRDefault="00D659FB" w:rsidP="004E53AE">
      <w:pPr>
        <w:autoSpaceDE w:val="0"/>
        <w:autoSpaceDN w:val="0"/>
        <w:adjustRightInd w:val="0"/>
        <w:spacing w:after="0" w:line="240" w:lineRule="auto"/>
        <w:jc w:val="both"/>
        <w:rPr>
          <w:rFonts w:ascii="Nirmala UI" w:hAnsi="Nirmala UI" w:cs="Nirmala UI"/>
          <w:color w:val="000000"/>
        </w:rPr>
      </w:pPr>
    </w:p>
    <w:p w14:paraId="6DF85210" w14:textId="24B3DCBE" w:rsidR="00D659FB" w:rsidRPr="004F554E" w:rsidRDefault="00D659FB" w:rsidP="007D4275">
      <w:pPr>
        <w:pStyle w:val="Prrafodelista"/>
        <w:numPr>
          <w:ilvl w:val="0"/>
          <w:numId w:val="4"/>
        </w:numPr>
        <w:autoSpaceDE w:val="0"/>
        <w:autoSpaceDN w:val="0"/>
        <w:adjustRightInd w:val="0"/>
        <w:spacing w:after="0" w:line="240" w:lineRule="auto"/>
        <w:jc w:val="both"/>
        <w:rPr>
          <w:rFonts w:ascii="Nirmala UI" w:hAnsi="Nirmala UI" w:cs="Nirmala UI"/>
        </w:rPr>
      </w:pPr>
      <w:r w:rsidRPr="00365BDF">
        <w:rPr>
          <w:rFonts w:ascii="Nirmala UI" w:hAnsi="Nirmala UI" w:cs="Nirmala UI"/>
          <w:color w:val="000000"/>
        </w:rPr>
        <w:t xml:space="preserve">La Secretaría de Estado de Turismo transferirá el importe de </w:t>
      </w:r>
      <w:r w:rsidR="0008717A" w:rsidRPr="00365BDF">
        <w:rPr>
          <w:rFonts w:ascii="Nirmala UI" w:hAnsi="Nirmala UI" w:cs="Nirmala UI"/>
          <w:color w:val="000000"/>
        </w:rPr>
        <w:t xml:space="preserve">la primera </w:t>
      </w:r>
      <w:r w:rsidRPr="00365BDF">
        <w:rPr>
          <w:rFonts w:ascii="Nirmala UI" w:hAnsi="Nirmala UI" w:cs="Nirmala UI"/>
          <w:color w:val="000000"/>
        </w:rPr>
        <w:t xml:space="preserve">anualidad a la </w:t>
      </w:r>
      <w:r w:rsidR="002F41A8" w:rsidRPr="00365BDF">
        <w:rPr>
          <w:rFonts w:ascii="Nirmala UI" w:hAnsi="Nirmala UI" w:cs="Nirmala UI"/>
          <w:color w:val="000000"/>
        </w:rPr>
        <w:t>EE.</w:t>
      </w:r>
      <w:r w:rsidR="00DD0D2A" w:rsidRPr="00365BDF">
        <w:rPr>
          <w:rFonts w:ascii="Nirmala UI" w:hAnsi="Nirmala UI" w:cs="Nirmala UI"/>
          <w:color w:val="000000"/>
        </w:rPr>
        <w:t>LL</w:t>
      </w:r>
      <w:r w:rsidR="002F41A8" w:rsidRPr="00365BDF">
        <w:rPr>
          <w:rFonts w:ascii="Nirmala UI" w:hAnsi="Nirmala UI" w:cs="Nirmala UI"/>
          <w:color w:val="000000"/>
        </w:rPr>
        <w:t>.</w:t>
      </w:r>
      <w:r w:rsidR="00DD0D2A" w:rsidRPr="00365BDF">
        <w:rPr>
          <w:rFonts w:ascii="Nirmala UI" w:hAnsi="Nirmala UI" w:cs="Nirmala UI"/>
          <w:color w:val="000000"/>
        </w:rPr>
        <w:t xml:space="preserve"> </w:t>
      </w:r>
      <w:r w:rsidRPr="00365BDF">
        <w:rPr>
          <w:rFonts w:ascii="Nirmala UI" w:hAnsi="Nirmala UI" w:cs="Nirmala UI"/>
          <w:color w:val="000000"/>
        </w:rPr>
        <w:t>ejecutante, como financiación anticipada de las actuaciones</w:t>
      </w:r>
      <w:r w:rsidR="009A6AB9" w:rsidRPr="00365BDF">
        <w:rPr>
          <w:rFonts w:ascii="Nirmala UI" w:hAnsi="Nirmala UI" w:cs="Nirmala UI"/>
          <w:color w:val="000000"/>
        </w:rPr>
        <w:t>, conforme a lo establecido por el artículo 10 del Real Decreto-Ley 25/2020, de 3 de julio</w:t>
      </w:r>
      <w:r w:rsidRPr="00365BDF">
        <w:rPr>
          <w:rFonts w:ascii="Nirmala UI" w:hAnsi="Nirmala UI" w:cs="Nirmala UI"/>
          <w:color w:val="000000"/>
        </w:rPr>
        <w:t>.</w:t>
      </w:r>
      <w:r w:rsidR="00DB38BE" w:rsidRPr="00365BDF">
        <w:rPr>
          <w:rFonts w:ascii="Nirmala UI" w:hAnsi="Nirmala UI" w:cs="Nirmala UI"/>
          <w:color w:val="000000"/>
        </w:rPr>
        <w:t xml:space="preserve"> La aportación de la primera anualidad podrá financiar las actuaciones que </w:t>
      </w:r>
      <w:r w:rsidR="00836F36" w:rsidRPr="00365BDF">
        <w:rPr>
          <w:rFonts w:ascii="Nirmala UI" w:hAnsi="Nirmala UI" w:cs="Nirmala UI"/>
          <w:color w:val="000000"/>
        </w:rPr>
        <w:t xml:space="preserve">se realicen </w:t>
      </w:r>
      <w:r w:rsidR="00DB38BE" w:rsidRPr="00365BDF">
        <w:rPr>
          <w:rFonts w:ascii="Nirmala UI" w:hAnsi="Nirmala UI" w:cs="Nirmala UI"/>
          <w:color w:val="000000"/>
        </w:rPr>
        <w:t>en los restantes ejercicios del convenio</w:t>
      </w:r>
      <w:r w:rsidR="002A3B2F">
        <w:rPr>
          <w:rFonts w:ascii="Nirmala UI" w:hAnsi="Nirmala UI" w:cs="Nirmala UI"/>
          <w:color w:val="000000"/>
        </w:rPr>
        <w:t xml:space="preserve">, </w:t>
      </w:r>
      <w:r w:rsidR="002A3B2F" w:rsidRPr="004E53AE">
        <w:rPr>
          <w:rFonts w:ascii="Nirmala UI" w:hAnsi="Nirmala UI" w:cs="Nirmala UI"/>
          <w:color w:val="000000"/>
        </w:rPr>
        <w:t>siendo el plazo de ejecuci</w:t>
      </w:r>
      <w:r w:rsidR="003F7276" w:rsidRPr="004E53AE">
        <w:rPr>
          <w:rFonts w:ascii="Nirmala UI" w:hAnsi="Nirmala UI" w:cs="Nirmala UI"/>
          <w:color w:val="000000"/>
        </w:rPr>
        <w:t>ón de tres</w:t>
      </w:r>
      <w:r w:rsidR="002A3B2F" w:rsidRPr="004E53AE">
        <w:rPr>
          <w:rFonts w:ascii="Nirmala UI" w:hAnsi="Nirmala UI" w:cs="Nirmala UI"/>
          <w:color w:val="000000"/>
        </w:rPr>
        <w:t xml:space="preserve"> años para</w:t>
      </w:r>
      <w:r w:rsidR="00BA7AF0" w:rsidRPr="004E53AE">
        <w:rPr>
          <w:rFonts w:ascii="Nirmala UI" w:hAnsi="Nirmala UI" w:cs="Nirmala UI"/>
          <w:color w:val="000000"/>
        </w:rPr>
        <w:t xml:space="preserve"> esta </w:t>
      </w:r>
      <w:r w:rsidR="00BA7AF0" w:rsidRPr="004F554E">
        <w:rPr>
          <w:rFonts w:ascii="Nirmala UI" w:hAnsi="Nirmala UI" w:cs="Nirmala UI"/>
        </w:rPr>
        <w:t xml:space="preserve">aportación </w:t>
      </w:r>
      <w:r w:rsidR="004D614C" w:rsidRPr="004F554E">
        <w:rPr>
          <w:rFonts w:ascii="Nirmala UI" w:hAnsi="Nirmala UI" w:cs="Nirmala UI"/>
        </w:rPr>
        <w:t>a partir de la entrada en vigor del convenio</w:t>
      </w:r>
      <w:r w:rsidR="00BA7AF0" w:rsidRPr="004F554E">
        <w:rPr>
          <w:rFonts w:ascii="Nirmala UI" w:hAnsi="Nirmala UI" w:cs="Nirmala UI"/>
        </w:rPr>
        <w:t>.</w:t>
      </w:r>
    </w:p>
    <w:p w14:paraId="6A71151D" w14:textId="77777777" w:rsidR="00D659FB" w:rsidRPr="004F554E" w:rsidRDefault="00D659FB" w:rsidP="00D659FB">
      <w:pPr>
        <w:autoSpaceDE w:val="0"/>
        <w:autoSpaceDN w:val="0"/>
        <w:adjustRightInd w:val="0"/>
        <w:spacing w:after="0" w:line="240" w:lineRule="auto"/>
        <w:jc w:val="both"/>
        <w:rPr>
          <w:rFonts w:ascii="Nirmala UI" w:hAnsi="Nirmala UI" w:cs="Nirmala UI"/>
        </w:rPr>
      </w:pPr>
    </w:p>
    <w:p w14:paraId="0F43E98E" w14:textId="65A034F1" w:rsidR="00D659FB" w:rsidRPr="00365BDF" w:rsidRDefault="00D659FB" w:rsidP="00447DDD">
      <w:pPr>
        <w:pStyle w:val="Pa15"/>
        <w:numPr>
          <w:ilvl w:val="0"/>
          <w:numId w:val="4"/>
        </w:numPr>
        <w:jc w:val="both"/>
        <w:rPr>
          <w:rFonts w:ascii="Nirmala UI" w:hAnsi="Nirmala UI" w:cs="Nirmala UI"/>
          <w:color w:val="000000"/>
          <w:sz w:val="22"/>
          <w:szCs w:val="22"/>
        </w:rPr>
      </w:pPr>
      <w:r w:rsidRPr="00365BDF">
        <w:rPr>
          <w:rFonts w:ascii="Nirmala UI" w:hAnsi="Nirmala UI" w:cs="Nirmala UI"/>
          <w:color w:val="000000"/>
          <w:sz w:val="22"/>
          <w:szCs w:val="22"/>
        </w:rPr>
        <w:t xml:space="preserve">Con el fin de no alterar las anualidades comprometidas, si por circunstancias excepcionales debidamente justificadas, las actuaciones no pudieran ser ejecutadas </w:t>
      </w:r>
      <w:r w:rsidRPr="004E53AE">
        <w:rPr>
          <w:rFonts w:ascii="Nirmala UI" w:hAnsi="Nirmala UI" w:cs="Nirmala UI"/>
          <w:color w:val="000000"/>
          <w:sz w:val="22"/>
          <w:szCs w:val="22"/>
        </w:rPr>
        <w:t xml:space="preserve">en </w:t>
      </w:r>
      <w:r w:rsidR="002A3B2F" w:rsidRPr="004E53AE">
        <w:rPr>
          <w:rFonts w:ascii="Nirmala UI" w:hAnsi="Nirmala UI" w:cs="Nirmala UI"/>
          <w:color w:val="000000"/>
          <w:sz w:val="22"/>
          <w:szCs w:val="22"/>
        </w:rPr>
        <w:t xml:space="preserve">el </w:t>
      </w:r>
      <w:r w:rsidRPr="004E53AE">
        <w:rPr>
          <w:rFonts w:ascii="Nirmala UI" w:hAnsi="Nirmala UI" w:cs="Nirmala UI"/>
          <w:color w:val="000000"/>
          <w:sz w:val="22"/>
          <w:szCs w:val="22"/>
        </w:rPr>
        <w:t>plazo previsto</w:t>
      </w:r>
      <w:r w:rsidRPr="00365BDF">
        <w:rPr>
          <w:rFonts w:ascii="Nirmala UI" w:hAnsi="Nirmala UI" w:cs="Nirmala UI"/>
          <w:color w:val="000000"/>
          <w:sz w:val="22"/>
          <w:szCs w:val="22"/>
        </w:rPr>
        <w:t>, y por tal motivo se solicitara prórroga en el plazo de ejecución y justificación, su concesión por parte de la S</w:t>
      </w:r>
      <w:r w:rsidR="0008717A" w:rsidRPr="00365BDF">
        <w:rPr>
          <w:rFonts w:ascii="Nirmala UI" w:hAnsi="Nirmala UI" w:cs="Nirmala UI"/>
          <w:color w:val="000000"/>
          <w:sz w:val="22"/>
          <w:szCs w:val="22"/>
        </w:rPr>
        <w:t>ecretaría de Estado de Turismo</w:t>
      </w:r>
      <w:r w:rsidRPr="00365BDF">
        <w:rPr>
          <w:rFonts w:ascii="Nirmala UI" w:hAnsi="Nirmala UI" w:cs="Nirmala UI"/>
          <w:color w:val="000000"/>
          <w:sz w:val="22"/>
          <w:szCs w:val="22"/>
        </w:rPr>
        <w:t>, estará condicionada a la prestación de garantía</w:t>
      </w:r>
      <w:r w:rsidR="003F4E1D">
        <w:rPr>
          <w:rFonts w:ascii="Nirmala UI" w:hAnsi="Nirmala UI" w:cs="Nirmala UI"/>
          <w:color w:val="000000"/>
          <w:sz w:val="22"/>
          <w:szCs w:val="22"/>
        </w:rPr>
        <w:t xml:space="preserve"> por parte de la Entidad ejecutante y por el importe de las actuaciones pendientes de ejecución</w:t>
      </w:r>
      <w:r w:rsidRPr="00365BDF">
        <w:rPr>
          <w:rFonts w:ascii="Nirmala UI" w:hAnsi="Nirmala UI" w:cs="Nirmala UI"/>
          <w:color w:val="000000"/>
          <w:sz w:val="22"/>
          <w:szCs w:val="22"/>
        </w:rPr>
        <w:t xml:space="preserve">, que habrá de constituirse en metálico o en aval bancario, y </w:t>
      </w:r>
      <w:r w:rsidR="003F4E1D">
        <w:rPr>
          <w:rFonts w:ascii="Nirmala UI" w:hAnsi="Nirmala UI" w:cs="Nirmala UI"/>
          <w:color w:val="000000"/>
          <w:sz w:val="22"/>
          <w:szCs w:val="22"/>
        </w:rPr>
        <w:t xml:space="preserve">que se mantendrá </w:t>
      </w:r>
      <w:r w:rsidRPr="00365BDF">
        <w:rPr>
          <w:rFonts w:ascii="Nirmala UI" w:hAnsi="Nirmala UI" w:cs="Nirmala UI"/>
          <w:color w:val="000000"/>
          <w:sz w:val="22"/>
          <w:szCs w:val="22"/>
        </w:rPr>
        <w:t xml:space="preserve">hasta que la Administración autorice su cancelación, una </w:t>
      </w:r>
      <w:r w:rsidR="00836F36" w:rsidRPr="00365BDF">
        <w:rPr>
          <w:rFonts w:ascii="Nirmala UI" w:hAnsi="Nirmala UI" w:cs="Nirmala UI"/>
          <w:color w:val="000000"/>
          <w:sz w:val="22"/>
          <w:szCs w:val="22"/>
        </w:rPr>
        <w:t>vez ejecutadas y debidamente justificadas</w:t>
      </w:r>
      <w:r w:rsidRPr="00365BDF">
        <w:rPr>
          <w:rFonts w:ascii="Nirmala UI" w:hAnsi="Nirmala UI" w:cs="Nirmala UI"/>
          <w:color w:val="000000"/>
          <w:sz w:val="22"/>
          <w:szCs w:val="22"/>
        </w:rPr>
        <w:t xml:space="preserve">. </w:t>
      </w:r>
    </w:p>
    <w:p w14:paraId="0E0671BF" w14:textId="77777777" w:rsidR="003F6A2A" w:rsidRPr="00365BDF" w:rsidRDefault="003F6A2A" w:rsidP="003F6A2A">
      <w:pPr>
        <w:pStyle w:val="Default"/>
        <w:rPr>
          <w:rFonts w:ascii="Nirmala UI" w:hAnsi="Nirmala UI" w:cs="Nirmala UI"/>
          <w:sz w:val="22"/>
          <w:szCs w:val="22"/>
        </w:rPr>
      </w:pPr>
    </w:p>
    <w:p w14:paraId="3B63B544" w14:textId="4D5BAE98" w:rsidR="00D659FB" w:rsidRPr="00365BDF" w:rsidRDefault="00D659FB" w:rsidP="006A61D6">
      <w:pPr>
        <w:pStyle w:val="Pa6"/>
        <w:ind w:left="360"/>
        <w:jc w:val="both"/>
        <w:rPr>
          <w:rFonts w:ascii="Nirmala UI" w:hAnsi="Nirmala UI" w:cs="Nirmala UI"/>
          <w:color w:val="000000"/>
          <w:sz w:val="22"/>
          <w:szCs w:val="22"/>
        </w:rPr>
      </w:pPr>
      <w:r w:rsidRPr="00365BDF">
        <w:rPr>
          <w:rFonts w:ascii="Nirmala UI" w:hAnsi="Nirmala UI" w:cs="Nirmala UI"/>
          <w:color w:val="000000"/>
          <w:sz w:val="22"/>
          <w:szCs w:val="22"/>
        </w:rPr>
        <w:t>La referida garantía se constituirá en la Caja General de Depósitos o en sus sucursales, a disposición de la Secretaría de Estado de Turismo con sujeción a lo dispuesto en el Título II, capítulo I o III del Reglamento de la Caja General de Depósitos, aprobado por Real Decreto 161/1997 de 7 de febrero.</w:t>
      </w:r>
    </w:p>
    <w:p w14:paraId="5145E97D" w14:textId="14F41589" w:rsidR="001757D3" w:rsidRPr="00365BDF" w:rsidRDefault="001757D3" w:rsidP="001757D3">
      <w:pPr>
        <w:pStyle w:val="Default"/>
        <w:rPr>
          <w:rFonts w:ascii="Nirmala UI" w:hAnsi="Nirmala UI" w:cs="Nirmala UI"/>
          <w:sz w:val="22"/>
          <w:szCs w:val="22"/>
        </w:rPr>
      </w:pPr>
    </w:p>
    <w:p w14:paraId="72EAEF0D" w14:textId="4F04BF7E" w:rsidR="001757D3" w:rsidRDefault="001757D3" w:rsidP="001757D3">
      <w:pPr>
        <w:pStyle w:val="Default"/>
        <w:ind w:left="360"/>
        <w:rPr>
          <w:rFonts w:ascii="Nirmala UI" w:hAnsi="Nirmala UI" w:cs="Nirmala UI"/>
          <w:color w:val="auto"/>
          <w:sz w:val="22"/>
          <w:szCs w:val="22"/>
        </w:rPr>
      </w:pPr>
      <w:r w:rsidRPr="00365BDF">
        <w:rPr>
          <w:rFonts w:ascii="Nirmala UI" w:hAnsi="Nirmala UI" w:cs="Nirmala UI"/>
          <w:color w:val="auto"/>
          <w:sz w:val="22"/>
          <w:szCs w:val="22"/>
        </w:rPr>
        <w:t>La garantía no podrá ser pignorada y los gastos que genere la prestación del aval serán por cuenta de la Entidad Local, no pudiendo imputarse a la cuenta del Plan.</w:t>
      </w:r>
    </w:p>
    <w:p w14:paraId="433C62B5" w14:textId="6D4FDAB7" w:rsidR="004E53AE" w:rsidRDefault="004E53AE" w:rsidP="004E53AE">
      <w:pPr>
        <w:pStyle w:val="Default"/>
        <w:rPr>
          <w:rFonts w:ascii="Nirmala UI" w:hAnsi="Nirmala UI" w:cs="Nirmala UI"/>
          <w:color w:val="auto"/>
          <w:sz w:val="22"/>
          <w:szCs w:val="22"/>
        </w:rPr>
      </w:pPr>
    </w:p>
    <w:p w14:paraId="62DB1585" w14:textId="16B82D5F" w:rsidR="00D659FB" w:rsidRPr="00365BDF" w:rsidRDefault="00D659FB" w:rsidP="00781187">
      <w:pPr>
        <w:pStyle w:val="Pa15"/>
        <w:numPr>
          <w:ilvl w:val="0"/>
          <w:numId w:val="4"/>
        </w:numPr>
        <w:jc w:val="both"/>
        <w:rPr>
          <w:rFonts w:ascii="Nirmala UI" w:hAnsi="Nirmala UI" w:cs="Nirmala UI"/>
          <w:color w:val="000000"/>
          <w:sz w:val="22"/>
          <w:szCs w:val="22"/>
        </w:rPr>
      </w:pPr>
      <w:r w:rsidRPr="00365BDF">
        <w:rPr>
          <w:rFonts w:ascii="Nirmala UI" w:hAnsi="Nirmala UI" w:cs="Nirmala UI"/>
          <w:color w:val="000000"/>
          <w:sz w:val="22"/>
          <w:szCs w:val="22"/>
        </w:rPr>
        <w:t>La justificación documental de la aplicación de la totalidad de lo</w:t>
      </w:r>
      <w:r w:rsidR="0008717A" w:rsidRPr="00365BDF">
        <w:rPr>
          <w:rFonts w:ascii="Nirmala UI" w:hAnsi="Nirmala UI" w:cs="Nirmala UI"/>
          <w:color w:val="000000"/>
          <w:sz w:val="22"/>
          <w:szCs w:val="22"/>
        </w:rPr>
        <w:t xml:space="preserve">s fondos correspondientes </w:t>
      </w:r>
      <w:r w:rsidR="0008717A" w:rsidRPr="00F90DC3">
        <w:rPr>
          <w:rFonts w:ascii="Nirmala UI" w:hAnsi="Nirmala UI" w:cs="Nirmala UI"/>
          <w:color w:val="000000"/>
          <w:sz w:val="22"/>
          <w:szCs w:val="22"/>
        </w:rPr>
        <w:t xml:space="preserve">a la </w:t>
      </w:r>
      <w:r w:rsidR="00C568C7" w:rsidRPr="00F90DC3">
        <w:rPr>
          <w:rFonts w:ascii="Nirmala UI" w:hAnsi="Nirmala UI" w:cs="Nirmala UI"/>
          <w:color w:val="000000"/>
          <w:sz w:val="22"/>
          <w:szCs w:val="22"/>
        </w:rPr>
        <w:t xml:space="preserve">Secretaría de Estado de Turismo </w:t>
      </w:r>
      <w:r w:rsidRPr="00365BDF">
        <w:rPr>
          <w:rFonts w:ascii="Nirmala UI" w:hAnsi="Nirmala UI" w:cs="Nirmala UI"/>
          <w:color w:val="000000"/>
          <w:sz w:val="22"/>
          <w:szCs w:val="22"/>
        </w:rPr>
        <w:t>se realizará</w:t>
      </w:r>
      <w:r w:rsidR="00BA7AF0">
        <w:rPr>
          <w:rFonts w:ascii="Nirmala UI" w:hAnsi="Nirmala UI" w:cs="Nirmala UI"/>
          <w:color w:val="000000"/>
          <w:sz w:val="22"/>
          <w:szCs w:val="22"/>
        </w:rPr>
        <w:t xml:space="preserve"> dent</w:t>
      </w:r>
      <w:r w:rsidR="00365EFD">
        <w:rPr>
          <w:rFonts w:ascii="Nirmala UI" w:hAnsi="Nirmala UI" w:cs="Nirmala UI"/>
          <w:color w:val="000000"/>
          <w:sz w:val="22"/>
          <w:szCs w:val="22"/>
        </w:rPr>
        <w:t>r</w:t>
      </w:r>
      <w:r w:rsidR="00BA7AF0">
        <w:rPr>
          <w:rFonts w:ascii="Nirmala UI" w:hAnsi="Nirmala UI" w:cs="Nirmala UI"/>
          <w:color w:val="000000"/>
          <w:sz w:val="22"/>
          <w:szCs w:val="22"/>
        </w:rPr>
        <w:t xml:space="preserve">o del mes siguiente al término del plazo de ejecución de las actuaciones, </w:t>
      </w:r>
      <w:r w:rsidRPr="00365BDF">
        <w:rPr>
          <w:rFonts w:ascii="Nirmala UI" w:hAnsi="Nirmala UI" w:cs="Nirmala UI"/>
          <w:color w:val="000000"/>
          <w:sz w:val="22"/>
          <w:szCs w:val="22"/>
        </w:rPr>
        <w:t>mediante la presentación de los siguientes documentos a</w:t>
      </w:r>
      <w:r w:rsidR="00C568C7">
        <w:rPr>
          <w:rFonts w:ascii="Nirmala UI" w:hAnsi="Nirmala UI" w:cs="Nirmala UI"/>
          <w:color w:val="000000"/>
          <w:sz w:val="22"/>
          <w:szCs w:val="22"/>
        </w:rPr>
        <w:t>nte</w:t>
      </w:r>
      <w:r w:rsidRPr="00365BDF">
        <w:rPr>
          <w:rFonts w:ascii="Nirmala UI" w:hAnsi="Nirmala UI" w:cs="Nirmala UI"/>
          <w:color w:val="000000"/>
          <w:sz w:val="22"/>
          <w:szCs w:val="22"/>
        </w:rPr>
        <w:t xml:space="preserve"> </w:t>
      </w:r>
      <w:r w:rsidR="00922F64" w:rsidRPr="00365BDF">
        <w:rPr>
          <w:rFonts w:ascii="Nirmala UI" w:hAnsi="Nirmala UI" w:cs="Nirmala UI"/>
          <w:color w:val="000000"/>
          <w:sz w:val="22"/>
          <w:szCs w:val="22"/>
        </w:rPr>
        <w:t>la Secretaría de Estado de Turismo</w:t>
      </w:r>
      <w:r w:rsidRPr="00365BDF">
        <w:rPr>
          <w:rFonts w:ascii="Nirmala UI" w:hAnsi="Nirmala UI" w:cs="Nirmala UI"/>
          <w:color w:val="000000"/>
          <w:sz w:val="22"/>
          <w:szCs w:val="22"/>
        </w:rPr>
        <w:t>:</w:t>
      </w:r>
    </w:p>
    <w:p w14:paraId="09D567F6" w14:textId="77777777" w:rsidR="00D659FB" w:rsidRPr="00365BDF" w:rsidRDefault="00D659FB" w:rsidP="00E83730">
      <w:pPr>
        <w:pStyle w:val="Pa7"/>
        <w:spacing w:before="160" w:line="276" w:lineRule="auto"/>
        <w:ind w:left="680"/>
        <w:jc w:val="both"/>
        <w:rPr>
          <w:rFonts w:ascii="Nirmala UI" w:hAnsi="Nirmala UI" w:cs="Nirmala UI"/>
          <w:color w:val="000000"/>
          <w:sz w:val="22"/>
          <w:szCs w:val="22"/>
        </w:rPr>
      </w:pPr>
      <w:r w:rsidRPr="00365BDF">
        <w:rPr>
          <w:rFonts w:ascii="Nirmala UI" w:hAnsi="Nirmala UI" w:cs="Nirmala UI"/>
          <w:color w:val="000000"/>
          <w:sz w:val="22"/>
          <w:szCs w:val="22"/>
        </w:rPr>
        <w:t>a) Memoria general, en la que se recoja el grado de cumplimiento alcanzado en relación con los objetivos propuestos.</w:t>
      </w:r>
    </w:p>
    <w:p w14:paraId="5B01F745" w14:textId="77777777" w:rsidR="00D659FB" w:rsidRPr="00365BDF" w:rsidRDefault="00D659FB" w:rsidP="00E83730">
      <w:pPr>
        <w:pStyle w:val="Pa6"/>
        <w:spacing w:line="276" w:lineRule="auto"/>
        <w:ind w:left="340" w:firstLine="340"/>
        <w:jc w:val="both"/>
        <w:rPr>
          <w:rFonts w:ascii="Nirmala UI" w:hAnsi="Nirmala UI" w:cs="Nirmala UI"/>
          <w:color w:val="000000"/>
          <w:sz w:val="22"/>
          <w:szCs w:val="22"/>
        </w:rPr>
      </w:pPr>
      <w:r w:rsidRPr="00365BDF">
        <w:rPr>
          <w:rFonts w:ascii="Nirmala UI" w:hAnsi="Nirmala UI" w:cs="Nirmala UI"/>
          <w:color w:val="000000"/>
          <w:sz w:val="22"/>
          <w:szCs w:val="22"/>
        </w:rPr>
        <w:t>b) Informe escueto por cada actuación.</w:t>
      </w:r>
    </w:p>
    <w:p w14:paraId="75780707" w14:textId="77777777" w:rsidR="00D659FB" w:rsidRPr="00365BDF" w:rsidRDefault="00D659FB" w:rsidP="00E83730">
      <w:pPr>
        <w:pStyle w:val="Pa6"/>
        <w:spacing w:line="276" w:lineRule="auto"/>
        <w:ind w:left="340" w:firstLine="340"/>
        <w:jc w:val="both"/>
        <w:rPr>
          <w:rFonts w:ascii="Nirmala UI" w:hAnsi="Nirmala UI" w:cs="Nirmala UI"/>
          <w:color w:val="000000"/>
          <w:sz w:val="22"/>
          <w:szCs w:val="22"/>
        </w:rPr>
      </w:pPr>
      <w:r w:rsidRPr="00365BDF">
        <w:rPr>
          <w:rFonts w:ascii="Nirmala UI" w:hAnsi="Nirmala UI" w:cs="Nirmala UI"/>
          <w:color w:val="000000"/>
          <w:sz w:val="22"/>
          <w:szCs w:val="22"/>
        </w:rPr>
        <w:t>c) Informe sobre las repercusiones del Plan en medios de comunicación.</w:t>
      </w:r>
    </w:p>
    <w:p w14:paraId="18B28624" w14:textId="7B0B2931" w:rsidR="00D659FB" w:rsidRPr="00365BDF" w:rsidRDefault="00D659FB" w:rsidP="00E83730">
      <w:pPr>
        <w:pStyle w:val="Pa6"/>
        <w:spacing w:line="276" w:lineRule="auto"/>
        <w:ind w:left="680"/>
        <w:jc w:val="both"/>
        <w:rPr>
          <w:rFonts w:ascii="Nirmala UI" w:hAnsi="Nirmala UI" w:cs="Nirmala UI"/>
          <w:color w:val="000000"/>
          <w:sz w:val="22"/>
          <w:szCs w:val="22"/>
        </w:rPr>
      </w:pPr>
      <w:r w:rsidRPr="00365BDF">
        <w:rPr>
          <w:rFonts w:ascii="Nirmala UI" w:hAnsi="Nirmala UI" w:cs="Nirmala UI"/>
          <w:color w:val="000000"/>
          <w:sz w:val="22"/>
          <w:szCs w:val="22"/>
        </w:rPr>
        <w:t xml:space="preserve">d) Certificado de haberse registrado en la contabilidad el ingreso de </w:t>
      </w:r>
      <w:r w:rsidR="00922F64" w:rsidRPr="00365BDF">
        <w:rPr>
          <w:rFonts w:ascii="Nirmala UI" w:hAnsi="Nirmala UI" w:cs="Nirmala UI"/>
          <w:color w:val="000000"/>
          <w:sz w:val="22"/>
          <w:szCs w:val="22"/>
        </w:rPr>
        <w:t>la Secretaría de Estado de Turismo</w:t>
      </w:r>
      <w:r w:rsidRPr="00365BDF">
        <w:rPr>
          <w:rFonts w:ascii="Nirmala UI" w:hAnsi="Nirmala UI" w:cs="Nirmala UI"/>
          <w:color w:val="000000"/>
          <w:sz w:val="22"/>
          <w:szCs w:val="22"/>
        </w:rPr>
        <w:t xml:space="preserve"> que se justifica, así como los de las otra</w:t>
      </w:r>
      <w:r w:rsidR="00C568C7">
        <w:rPr>
          <w:rFonts w:ascii="Nirmala UI" w:hAnsi="Nirmala UI" w:cs="Nirmala UI"/>
          <w:color w:val="000000"/>
          <w:sz w:val="22"/>
          <w:szCs w:val="22"/>
        </w:rPr>
        <w:t xml:space="preserve">s partes correspondientes a </w:t>
      </w:r>
      <w:r w:rsidR="00C568C7" w:rsidRPr="00F90DC3">
        <w:rPr>
          <w:rFonts w:ascii="Nirmala UI" w:hAnsi="Nirmala UI" w:cs="Nirmala UI"/>
          <w:color w:val="000000"/>
          <w:sz w:val="22"/>
          <w:szCs w:val="22"/>
        </w:rPr>
        <w:t>cad</w:t>
      </w:r>
      <w:r w:rsidRPr="00F90DC3">
        <w:rPr>
          <w:rFonts w:ascii="Nirmala UI" w:hAnsi="Nirmala UI" w:cs="Nirmala UI"/>
          <w:color w:val="000000"/>
          <w:sz w:val="22"/>
          <w:szCs w:val="22"/>
        </w:rPr>
        <w:t>a</w:t>
      </w:r>
      <w:r w:rsidRPr="00365BDF">
        <w:rPr>
          <w:rFonts w:ascii="Nirmala UI" w:hAnsi="Nirmala UI" w:cs="Nirmala UI"/>
          <w:color w:val="000000"/>
          <w:sz w:val="22"/>
          <w:szCs w:val="22"/>
        </w:rPr>
        <w:t xml:space="preserve"> anualidad</w:t>
      </w:r>
      <w:r w:rsidR="00836F36" w:rsidRPr="00365BDF">
        <w:rPr>
          <w:rFonts w:ascii="Nirmala UI" w:hAnsi="Nirmala UI" w:cs="Nirmala UI"/>
          <w:color w:val="000000"/>
          <w:sz w:val="22"/>
          <w:szCs w:val="22"/>
        </w:rPr>
        <w:t>, en caso de que proceda, según el cuadro financiero de distribución de anualidades</w:t>
      </w:r>
      <w:r w:rsidRPr="00365BDF">
        <w:rPr>
          <w:rFonts w:ascii="Nirmala UI" w:hAnsi="Nirmala UI" w:cs="Nirmala UI"/>
          <w:color w:val="000000"/>
          <w:sz w:val="22"/>
          <w:szCs w:val="22"/>
        </w:rPr>
        <w:t>.</w:t>
      </w:r>
    </w:p>
    <w:p w14:paraId="13D0CA74" w14:textId="7F8A90B6" w:rsidR="00D659FB" w:rsidRPr="00365BDF" w:rsidRDefault="00D659FB" w:rsidP="00E83730">
      <w:pPr>
        <w:pStyle w:val="Pa6"/>
        <w:spacing w:line="276" w:lineRule="auto"/>
        <w:ind w:left="680"/>
        <w:jc w:val="both"/>
        <w:rPr>
          <w:rFonts w:ascii="Nirmala UI" w:hAnsi="Nirmala UI" w:cs="Nirmala UI"/>
          <w:color w:val="000000"/>
          <w:sz w:val="22"/>
          <w:szCs w:val="22"/>
        </w:rPr>
      </w:pPr>
      <w:r w:rsidRPr="00365BDF">
        <w:rPr>
          <w:rFonts w:ascii="Nirmala UI" w:hAnsi="Nirmala UI" w:cs="Nirmala UI"/>
          <w:color w:val="000000"/>
          <w:sz w:val="22"/>
          <w:szCs w:val="22"/>
        </w:rPr>
        <w:t xml:space="preserve">e) Informe del Interventor de </w:t>
      </w:r>
      <w:r w:rsidR="00922F64" w:rsidRPr="00365BDF">
        <w:rPr>
          <w:rFonts w:ascii="Nirmala UI" w:hAnsi="Nirmala UI" w:cs="Nirmala UI"/>
          <w:color w:val="000000"/>
          <w:sz w:val="22"/>
          <w:szCs w:val="22"/>
        </w:rPr>
        <w:t xml:space="preserve">la </w:t>
      </w:r>
      <w:r w:rsidR="002F41A8" w:rsidRPr="00365BDF">
        <w:rPr>
          <w:rFonts w:ascii="Nirmala UI" w:hAnsi="Nirmala UI" w:cs="Nirmala UI"/>
          <w:sz w:val="22"/>
          <w:szCs w:val="22"/>
        </w:rPr>
        <w:t>EE.</w:t>
      </w:r>
      <w:r w:rsidR="00922F64" w:rsidRPr="00365BDF">
        <w:rPr>
          <w:rFonts w:ascii="Nirmala UI" w:hAnsi="Nirmala UI" w:cs="Nirmala UI"/>
          <w:sz w:val="22"/>
          <w:szCs w:val="22"/>
        </w:rPr>
        <w:t>LL</w:t>
      </w:r>
      <w:r w:rsidR="002F41A8" w:rsidRPr="00365BDF">
        <w:rPr>
          <w:rFonts w:ascii="Nirmala UI" w:hAnsi="Nirmala UI" w:cs="Nirmala UI"/>
          <w:sz w:val="22"/>
          <w:szCs w:val="22"/>
        </w:rPr>
        <w:t>.</w:t>
      </w:r>
      <w:r w:rsidRPr="00365BDF">
        <w:rPr>
          <w:rFonts w:ascii="Nirmala UI" w:hAnsi="Nirmala UI" w:cs="Nirmala UI"/>
          <w:sz w:val="22"/>
          <w:szCs w:val="22"/>
        </w:rPr>
        <w:t xml:space="preserve"> ejecutante </w:t>
      </w:r>
      <w:r w:rsidRPr="00365BDF">
        <w:rPr>
          <w:rFonts w:ascii="Nirmala UI" w:hAnsi="Nirmala UI" w:cs="Nirmala UI"/>
          <w:color w:val="000000"/>
          <w:sz w:val="22"/>
          <w:szCs w:val="22"/>
        </w:rPr>
        <w:t>de las obligaciones reconocidas imputadas a cada proyecto.</w:t>
      </w:r>
    </w:p>
    <w:p w14:paraId="4BF38088" w14:textId="77777777" w:rsidR="0046317F" w:rsidRPr="00365BDF" w:rsidRDefault="0046317F" w:rsidP="00E83730">
      <w:pPr>
        <w:pStyle w:val="Sinespaciado"/>
        <w:spacing w:line="276" w:lineRule="auto"/>
        <w:ind w:left="680"/>
        <w:jc w:val="both"/>
        <w:rPr>
          <w:rFonts w:ascii="Nirmala UI" w:hAnsi="Nirmala UI" w:cs="Nirmala UI"/>
        </w:rPr>
      </w:pPr>
      <w:r w:rsidRPr="00365BDF">
        <w:rPr>
          <w:rFonts w:ascii="Nirmala UI" w:hAnsi="Nirmala UI" w:cs="Nirmala UI"/>
        </w:rPr>
        <w:t>f) Informe del Interventor de la Administración ejecutora en el que se haga constar que todas las facturas han sido pagadas.</w:t>
      </w:r>
    </w:p>
    <w:p w14:paraId="5796CAAE" w14:textId="64477753" w:rsidR="00D659FB" w:rsidRPr="00365BDF" w:rsidRDefault="0046317F" w:rsidP="00E83730">
      <w:pPr>
        <w:pStyle w:val="Sinespaciado"/>
        <w:spacing w:line="276" w:lineRule="auto"/>
        <w:ind w:left="680"/>
        <w:jc w:val="both"/>
        <w:rPr>
          <w:rFonts w:ascii="Nirmala UI" w:hAnsi="Nirmala UI" w:cs="Nirmala UI"/>
          <w:color w:val="000000"/>
        </w:rPr>
      </w:pPr>
      <w:r w:rsidRPr="00365BDF">
        <w:rPr>
          <w:rFonts w:ascii="Nirmala UI" w:hAnsi="Nirmala UI" w:cs="Nirmala UI"/>
          <w:color w:val="000000"/>
        </w:rPr>
        <w:t>g</w:t>
      </w:r>
      <w:r w:rsidR="00D659FB" w:rsidRPr="00365BDF">
        <w:rPr>
          <w:rFonts w:ascii="Nirmala UI" w:hAnsi="Nirmala UI" w:cs="Nirmala UI"/>
          <w:color w:val="000000"/>
        </w:rPr>
        <w:t xml:space="preserve">) Certificado del Secretario de la </w:t>
      </w:r>
      <w:r w:rsidR="002F41A8" w:rsidRPr="00365BDF">
        <w:rPr>
          <w:rFonts w:ascii="Nirmala UI" w:hAnsi="Nirmala UI" w:cs="Nirmala UI"/>
        </w:rPr>
        <w:t>EE.</w:t>
      </w:r>
      <w:r w:rsidR="00922F64" w:rsidRPr="00365BDF">
        <w:rPr>
          <w:rFonts w:ascii="Nirmala UI" w:hAnsi="Nirmala UI" w:cs="Nirmala UI"/>
        </w:rPr>
        <w:t>LL</w:t>
      </w:r>
      <w:r w:rsidR="002F41A8" w:rsidRPr="00365BDF">
        <w:rPr>
          <w:rFonts w:ascii="Nirmala UI" w:hAnsi="Nirmala UI" w:cs="Nirmala UI"/>
        </w:rPr>
        <w:t>.</w:t>
      </w:r>
      <w:r w:rsidR="00922F64" w:rsidRPr="00365BDF">
        <w:rPr>
          <w:rFonts w:ascii="Nirmala UI" w:hAnsi="Nirmala UI" w:cs="Nirmala UI"/>
        </w:rPr>
        <w:t xml:space="preserve"> </w:t>
      </w:r>
      <w:r w:rsidR="00D659FB" w:rsidRPr="00365BDF">
        <w:rPr>
          <w:rFonts w:ascii="Nirmala UI" w:hAnsi="Nirmala UI" w:cs="Nirmala UI"/>
        </w:rPr>
        <w:t xml:space="preserve">ejecutante </w:t>
      </w:r>
      <w:r w:rsidR="00D659FB" w:rsidRPr="00365BDF">
        <w:rPr>
          <w:rFonts w:ascii="Nirmala UI" w:hAnsi="Nirmala UI" w:cs="Nirmala UI"/>
          <w:color w:val="000000"/>
        </w:rPr>
        <w:t>sobre la realización de las actuaciones, en el que se consignarán los importes ejecutados correspondientes a las mismas, con el visto bueno del Presidente de la Comisión de Seguimiento.</w:t>
      </w:r>
    </w:p>
    <w:p w14:paraId="4EEA56EB" w14:textId="3298F5E3" w:rsidR="00D659FB" w:rsidRPr="00365BDF" w:rsidRDefault="0046317F" w:rsidP="00E83730">
      <w:pPr>
        <w:autoSpaceDE w:val="0"/>
        <w:autoSpaceDN w:val="0"/>
        <w:adjustRightInd w:val="0"/>
        <w:spacing w:after="0" w:line="276" w:lineRule="auto"/>
        <w:ind w:left="680"/>
        <w:jc w:val="both"/>
        <w:rPr>
          <w:rFonts w:ascii="Nirmala UI" w:hAnsi="Nirmala UI" w:cs="Nirmala UI"/>
          <w:color w:val="000000"/>
        </w:rPr>
      </w:pPr>
      <w:r w:rsidRPr="00365BDF">
        <w:rPr>
          <w:rFonts w:ascii="Nirmala UI" w:hAnsi="Nirmala UI" w:cs="Nirmala UI"/>
          <w:color w:val="000000"/>
        </w:rPr>
        <w:t>h</w:t>
      </w:r>
      <w:r w:rsidR="00D659FB" w:rsidRPr="00365BDF">
        <w:rPr>
          <w:rFonts w:ascii="Nirmala UI" w:hAnsi="Nirmala UI" w:cs="Nirmala UI"/>
          <w:color w:val="000000"/>
        </w:rPr>
        <w:t>) Acta de la Comisión de Seguimiento o docu</w:t>
      </w:r>
      <w:r w:rsidR="00922F64" w:rsidRPr="00365BDF">
        <w:rPr>
          <w:rFonts w:ascii="Nirmala UI" w:hAnsi="Nirmala UI" w:cs="Nirmala UI"/>
          <w:color w:val="000000"/>
        </w:rPr>
        <w:t xml:space="preserve">mento de cierre de </w:t>
      </w:r>
      <w:r w:rsidR="00C568C7" w:rsidRPr="00F90DC3">
        <w:rPr>
          <w:rFonts w:ascii="Nirmala UI" w:hAnsi="Nirmala UI" w:cs="Nirmala UI"/>
          <w:color w:val="000000"/>
        </w:rPr>
        <w:t>cada</w:t>
      </w:r>
      <w:r w:rsidR="00922F64" w:rsidRPr="00365BDF">
        <w:rPr>
          <w:rFonts w:ascii="Nirmala UI" w:hAnsi="Nirmala UI" w:cs="Nirmala UI"/>
          <w:color w:val="000000"/>
        </w:rPr>
        <w:t xml:space="preserve"> anualidad </w:t>
      </w:r>
      <w:r w:rsidR="00D659FB" w:rsidRPr="00365BDF">
        <w:rPr>
          <w:rFonts w:ascii="Nirmala UI" w:hAnsi="Nirmala UI" w:cs="Nirmala UI"/>
          <w:color w:val="000000"/>
        </w:rPr>
        <w:t>suscrito por todas las partes del convenio, en el que conste la inversión inicial y la final detallada por actuaciones.</w:t>
      </w:r>
    </w:p>
    <w:p w14:paraId="13F23C97" w14:textId="77777777" w:rsidR="00836F36" w:rsidRPr="00365BDF" w:rsidRDefault="00836F36" w:rsidP="0046317F">
      <w:pPr>
        <w:autoSpaceDE w:val="0"/>
        <w:autoSpaceDN w:val="0"/>
        <w:adjustRightInd w:val="0"/>
        <w:spacing w:after="0" w:line="240" w:lineRule="auto"/>
        <w:ind w:firstLine="340"/>
        <w:jc w:val="both"/>
        <w:rPr>
          <w:rFonts w:ascii="Nirmala UI" w:hAnsi="Nirmala UI" w:cs="Nirmala UI"/>
          <w:color w:val="000000"/>
        </w:rPr>
      </w:pPr>
    </w:p>
    <w:p w14:paraId="6D20E54D" w14:textId="2A2D8B8D" w:rsidR="008822B6" w:rsidRPr="00365BDF" w:rsidRDefault="00A2516D" w:rsidP="00365BDF">
      <w:pPr>
        <w:pStyle w:val="Pa6"/>
        <w:ind w:left="340"/>
        <w:jc w:val="both"/>
        <w:rPr>
          <w:rFonts w:ascii="Nirmala UI" w:hAnsi="Nirmala UI" w:cs="Nirmala UI"/>
          <w:color w:val="000000"/>
          <w:sz w:val="22"/>
          <w:szCs w:val="22"/>
        </w:rPr>
      </w:pPr>
      <w:r w:rsidRPr="00365BDF">
        <w:rPr>
          <w:rFonts w:ascii="Nirmala UI" w:hAnsi="Nirmala UI" w:cs="Nirmala UI"/>
          <w:color w:val="000000"/>
          <w:sz w:val="22"/>
          <w:szCs w:val="22"/>
        </w:rPr>
        <w:t xml:space="preserve">Lo anterior se entiende sin perjuicio de las funciones de control financiero y de fiscalización </w:t>
      </w:r>
      <w:r w:rsidR="008822B6" w:rsidRPr="00365BDF">
        <w:rPr>
          <w:rFonts w:ascii="Nirmala UI" w:hAnsi="Nirmala UI" w:cs="Nirmala UI"/>
          <w:color w:val="000000"/>
          <w:sz w:val="22"/>
          <w:szCs w:val="22"/>
        </w:rPr>
        <w:t xml:space="preserve">de las aportaciones objeto del presente convenio, </w:t>
      </w:r>
      <w:r w:rsidRPr="00365BDF">
        <w:rPr>
          <w:rFonts w:ascii="Nirmala UI" w:hAnsi="Nirmala UI" w:cs="Nirmala UI"/>
          <w:color w:val="000000"/>
          <w:sz w:val="22"/>
          <w:szCs w:val="22"/>
        </w:rPr>
        <w:t>que correspondan a otros órganos del Estado</w:t>
      </w:r>
      <w:r w:rsidR="008822B6" w:rsidRPr="00365BDF">
        <w:rPr>
          <w:rFonts w:ascii="Nirmala UI" w:hAnsi="Nirmala UI" w:cs="Nirmala UI"/>
          <w:color w:val="000000"/>
          <w:sz w:val="22"/>
          <w:szCs w:val="22"/>
        </w:rPr>
        <w:t xml:space="preserve"> (Intervención General del Estado o Intervención Delegada correspondiente y el Tribunal de Cuentas)</w:t>
      </w:r>
      <w:r w:rsidRPr="00365BDF">
        <w:rPr>
          <w:rFonts w:ascii="Nirmala UI" w:hAnsi="Nirmala UI" w:cs="Nirmala UI"/>
          <w:color w:val="000000"/>
          <w:sz w:val="22"/>
          <w:szCs w:val="22"/>
        </w:rPr>
        <w:t>, por lo que en cualquier momento se podrán exigir las facturas originales o copias autenticadas conforme a la Ley que justifiquen la inversión realizada.</w:t>
      </w:r>
    </w:p>
    <w:p w14:paraId="164F483D" w14:textId="77777777" w:rsidR="008822B6" w:rsidRPr="00365BDF" w:rsidRDefault="008822B6" w:rsidP="008822B6">
      <w:pPr>
        <w:pStyle w:val="Default"/>
        <w:rPr>
          <w:rFonts w:ascii="Nirmala UI" w:hAnsi="Nirmala UI" w:cs="Nirmala UI"/>
          <w:sz w:val="22"/>
          <w:szCs w:val="22"/>
        </w:rPr>
      </w:pPr>
    </w:p>
    <w:p w14:paraId="3EBDA59A" w14:textId="5BF1A21F" w:rsidR="00922F64" w:rsidRPr="00365BDF" w:rsidRDefault="00922F64" w:rsidP="003F4E1D">
      <w:pPr>
        <w:pStyle w:val="Pa7"/>
        <w:numPr>
          <w:ilvl w:val="0"/>
          <w:numId w:val="7"/>
        </w:numPr>
        <w:spacing w:before="160"/>
        <w:jc w:val="both"/>
        <w:rPr>
          <w:rFonts w:ascii="Nirmala UI" w:hAnsi="Nirmala UI" w:cs="Nirmala UI"/>
          <w:color w:val="000000"/>
          <w:sz w:val="22"/>
          <w:szCs w:val="22"/>
        </w:rPr>
      </w:pPr>
      <w:r w:rsidRPr="00365BDF">
        <w:rPr>
          <w:rFonts w:ascii="Nirmala UI" w:hAnsi="Nirmala UI" w:cs="Nirmala UI"/>
          <w:color w:val="000000"/>
          <w:sz w:val="22"/>
          <w:szCs w:val="22"/>
        </w:rPr>
        <w:t>Para la cancelación de la garantía, será necesario un informe del Interventor de</w:t>
      </w:r>
      <w:r w:rsidR="00D307DF">
        <w:rPr>
          <w:rFonts w:ascii="Nirmala UI" w:hAnsi="Nirmala UI" w:cs="Nirmala UI"/>
          <w:color w:val="000000"/>
          <w:sz w:val="22"/>
          <w:szCs w:val="22"/>
        </w:rPr>
        <w:t xml:space="preserve">l </w:t>
      </w:r>
      <w:r w:rsidR="00D307DF" w:rsidRPr="002274B8">
        <w:rPr>
          <w:rFonts w:ascii="Nirmala UI" w:hAnsi="Nirmala UI" w:cs="Nirmala UI"/>
          <w:sz w:val="22"/>
          <w:szCs w:val="22"/>
        </w:rPr>
        <w:t>Cabildo de Gran Canaria</w:t>
      </w:r>
      <w:r w:rsidRPr="002274B8">
        <w:rPr>
          <w:rFonts w:ascii="Nirmala UI" w:hAnsi="Nirmala UI" w:cs="Nirmala UI"/>
          <w:sz w:val="22"/>
          <w:szCs w:val="22"/>
        </w:rPr>
        <w:t xml:space="preserve"> en el que </w:t>
      </w:r>
      <w:r w:rsidRPr="00365BDF">
        <w:rPr>
          <w:rFonts w:ascii="Nirmala UI" w:hAnsi="Nirmala UI" w:cs="Nirmala UI"/>
          <w:color w:val="000000"/>
          <w:sz w:val="22"/>
          <w:szCs w:val="22"/>
        </w:rPr>
        <w:t>se haga constar que todas las facturas han sido pagadas.</w:t>
      </w:r>
    </w:p>
    <w:p w14:paraId="15957755" w14:textId="7AECB0C1" w:rsidR="008D379D" w:rsidRPr="00365BDF" w:rsidRDefault="008D379D" w:rsidP="008D379D">
      <w:pPr>
        <w:pStyle w:val="Default"/>
        <w:rPr>
          <w:rFonts w:ascii="Nirmala UI" w:hAnsi="Nirmala UI" w:cs="Nirmala UI"/>
          <w:sz w:val="22"/>
          <w:szCs w:val="22"/>
        </w:rPr>
      </w:pPr>
    </w:p>
    <w:p w14:paraId="6545DABD" w14:textId="440F1724" w:rsidR="008D379D" w:rsidRPr="00365BDF" w:rsidRDefault="008D379D" w:rsidP="007034AF">
      <w:pPr>
        <w:pStyle w:val="Prrafodelista"/>
        <w:numPr>
          <w:ilvl w:val="0"/>
          <w:numId w:val="7"/>
        </w:numPr>
        <w:autoSpaceDE w:val="0"/>
        <w:autoSpaceDN w:val="0"/>
        <w:adjustRightInd w:val="0"/>
        <w:spacing w:after="0" w:line="240" w:lineRule="auto"/>
        <w:jc w:val="both"/>
        <w:rPr>
          <w:rFonts w:ascii="Nirmala UI" w:hAnsi="Nirmala UI" w:cs="Nirmala UI"/>
        </w:rPr>
      </w:pPr>
      <w:r w:rsidRPr="00365BDF">
        <w:rPr>
          <w:rFonts w:ascii="Nirmala UI" w:hAnsi="Nirmala UI" w:cs="Nirmala UI"/>
          <w:color w:val="000000"/>
        </w:rPr>
        <w:t>Asimismo, a la finalización del Plan se remitirá, por parte de la gerencia, una memoria global de las actuaciones realizadas con la ayuda del Plan que incluya la repercusión social, económica y ambiental en el territorio conforme a los retos del Programa de Planes de Sostenibilidad en Destinos y la coordinación del Plan con otros proyectos llevados a cabo en ese espacio geográfico, así como también la previsión de la gestión turística del destino una vez finalizado el Plan de Sostenibilidad.</w:t>
      </w:r>
    </w:p>
    <w:p w14:paraId="0C86D426" w14:textId="77777777" w:rsidR="00922F64" w:rsidRPr="00365BDF" w:rsidRDefault="00922F64" w:rsidP="00922F64">
      <w:pPr>
        <w:pStyle w:val="Default"/>
        <w:rPr>
          <w:rFonts w:ascii="Nirmala UI" w:hAnsi="Nirmala UI" w:cs="Nirmala UI"/>
          <w:sz w:val="22"/>
          <w:szCs w:val="22"/>
        </w:rPr>
      </w:pPr>
    </w:p>
    <w:p w14:paraId="2B85690F" w14:textId="01DBE3B7" w:rsidR="00922F64" w:rsidRPr="00365BDF" w:rsidRDefault="00922F64" w:rsidP="003F4E1D">
      <w:pPr>
        <w:pStyle w:val="Pa6"/>
        <w:numPr>
          <w:ilvl w:val="0"/>
          <w:numId w:val="7"/>
        </w:numPr>
        <w:jc w:val="both"/>
        <w:rPr>
          <w:rFonts w:ascii="Nirmala UI" w:hAnsi="Nirmala UI" w:cs="Nirmala UI"/>
          <w:color w:val="000000"/>
          <w:sz w:val="22"/>
          <w:szCs w:val="22"/>
        </w:rPr>
      </w:pPr>
      <w:r w:rsidRPr="00365BDF">
        <w:rPr>
          <w:rFonts w:ascii="Nirmala UI" w:hAnsi="Nirmala UI" w:cs="Nirmala UI"/>
          <w:color w:val="000000"/>
          <w:sz w:val="22"/>
          <w:szCs w:val="22"/>
        </w:rPr>
        <w:t>En el caso de tratarse de regiones elegibles con arreglo a los objetivos de la polít</w:t>
      </w:r>
      <w:r w:rsidR="00DD0D2A" w:rsidRPr="00365BDF">
        <w:rPr>
          <w:rFonts w:ascii="Nirmala UI" w:hAnsi="Nirmala UI" w:cs="Nirmala UI"/>
          <w:color w:val="000000"/>
          <w:sz w:val="22"/>
          <w:szCs w:val="22"/>
        </w:rPr>
        <w:t>ica de cohesión comunitaria (</w:t>
      </w:r>
      <w:r w:rsidR="00DD0D2A" w:rsidRPr="00F90DC3">
        <w:rPr>
          <w:rFonts w:ascii="Nirmala UI" w:hAnsi="Nirmala UI" w:cs="Nirmala UI"/>
          <w:color w:val="000000"/>
          <w:sz w:val="22"/>
          <w:szCs w:val="22"/>
        </w:rPr>
        <w:t>2014-2020</w:t>
      </w:r>
      <w:r w:rsidRPr="00365BDF">
        <w:rPr>
          <w:rFonts w:ascii="Nirmala UI" w:hAnsi="Nirmala UI" w:cs="Nirmala UI"/>
          <w:color w:val="000000"/>
          <w:sz w:val="22"/>
          <w:szCs w:val="22"/>
        </w:rPr>
        <w:t>), y a fin de poder justificar las contribuciones efectuadas ante los órganos competentes de la Comisión Europea, deberán aportarse las copias compulsadas de las facturas originales de las actuaciones del Plan que se soliciten.</w:t>
      </w:r>
    </w:p>
    <w:p w14:paraId="3D69C007" w14:textId="77777777" w:rsidR="006A61D6" w:rsidRPr="00365BDF" w:rsidRDefault="006A61D6" w:rsidP="006A61D6">
      <w:pPr>
        <w:pStyle w:val="Default"/>
        <w:rPr>
          <w:rFonts w:ascii="Nirmala UI" w:hAnsi="Nirmala UI" w:cs="Nirmala UI"/>
          <w:sz w:val="22"/>
          <w:szCs w:val="22"/>
        </w:rPr>
      </w:pPr>
    </w:p>
    <w:p w14:paraId="16C14884" w14:textId="34642FFC" w:rsidR="008D379D" w:rsidRPr="00365BDF" w:rsidRDefault="00922F64" w:rsidP="008822B6">
      <w:pPr>
        <w:autoSpaceDE w:val="0"/>
        <w:autoSpaceDN w:val="0"/>
        <w:adjustRightInd w:val="0"/>
        <w:spacing w:after="0" w:line="240" w:lineRule="auto"/>
        <w:ind w:left="360"/>
        <w:jc w:val="both"/>
        <w:rPr>
          <w:rFonts w:ascii="Nirmala UI" w:hAnsi="Nirmala UI" w:cs="Nirmala UI"/>
          <w:color w:val="000000"/>
        </w:rPr>
      </w:pPr>
      <w:r w:rsidRPr="00365BDF">
        <w:rPr>
          <w:rFonts w:ascii="Nirmala UI" w:hAnsi="Nirmala UI" w:cs="Nirmala UI"/>
          <w:color w:val="000000"/>
        </w:rPr>
        <w:t>Los gastos subvencionables con cargo a fondos europeos so</w:t>
      </w:r>
      <w:r w:rsidR="00DD0D2A" w:rsidRPr="00365BDF">
        <w:rPr>
          <w:rFonts w:ascii="Nirmala UI" w:hAnsi="Nirmala UI" w:cs="Nirmala UI"/>
          <w:color w:val="000000"/>
        </w:rPr>
        <w:t>n los establecidos en la Orden HFP</w:t>
      </w:r>
      <w:r w:rsidRPr="00365BDF">
        <w:rPr>
          <w:rFonts w:ascii="Nirmala UI" w:hAnsi="Nirmala UI" w:cs="Nirmala UI"/>
          <w:color w:val="000000"/>
        </w:rPr>
        <w:t>/</w:t>
      </w:r>
      <w:r w:rsidR="00DD0D2A" w:rsidRPr="00365BDF">
        <w:rPr>
          <w:rFonts w:ascii="Nirmala UI" w:hAnsi="Nirmala UI" w:cs="Nirmala UI"/>
          <w:color w:val="000000"/>
        </w:rPr>
        <w:t>1979</w:t>
      </w:r>
      <w:r w:rsidRPr="00365BDF">
        <w:rPr>
          <w:rFonts w:ascii="Nirmala UI" w:hAnsi="Nirmala UI" w:cs="Nirmala UI"/>
          <w:color w:val="000000"/>
        </w:rPr>
        <w:t>/20</w:t>
      </w:r>
      <w:r w:rsidR="00DD0D2A" w:rsidRPr="00365BDF">
        <w:rPr>
          <w:rFonts w:ascii="Nirmala UI" w:hAnsi="Nirmala UI" w:cs="Nirmala UI"/>
          <w:color w:val="000000"/>
        </w:rPr>
        <w:t>16, de 29</w:t>
      </w:r>
      <w:r w:rsidRPr="00365BDF">
        <w:rPr>
          <w:rFonts w:ascii="Nirmala UI" w:hAnsi="Nirmala UI" w:cs="Nirmala UI"/>
          <w:color w:val="000000"/>
        </w:rPr>
        <w:t xml:space="preserve"> de </w:t>
      </w:r>
      <w:r w:rsidR="00DD0D2A" w:rsidRPr="00365BDF">
        <w:rPr>
          <w:rFonts w:ascii="Nirmala UI" w:hAnsi="Nirmala UI" w:cs="Nirmala UI"/>
          <w:color w:val="000000"/>
        </w:rPr>
        <w:t>diciembre</w:t>
      </w:r>
      <w:r w:rsidRPr="00365BDF">
        <w:rPr>
          <w:rFonts w:ascii="Nirmala UI" w:hAnsi="Nirmala UI" w:cs="Nirmala UI"/>
          <w:color w:val="000000"/>
        </w:rPr>
        <w:t>, por la que se aprueban las normas sobre los gastos subvencionables de los programas operativos del Fondo Europ</w:t>
      </w:r>
      <w:r w:rsidR="00DD0D2A" w:rsidRPr="00365BDF">
        <w:rPr>
          <w:rFonts w:ascii="Nirmala UI" w:hAnsi="Nirmala UI" w:cs="Nirmala UI"/>
          <w:color w:val="000000"/>
        </w:rPr>
        <w:t xml:space="preserve">eo de Desarrollo Regional para el periodo 2014-2020 </w:t>
      </w:r>
      <w:r w:rsidRPr="00365BDF">
        <w:rPr>
          <w:rFonts w:ascii="Nirmala UI" w:hAnsi="Nirmala UI" w:cs="Nirmala UI"/>
          <w:color w:val="000000"/>
        </w:rPr>
        <w:t xml:space="preserve">(BOE de </w:t>
      </w:r>
      <w:r w:rsidR="00DD0D2A" w:rsidRPr="00365BDF">
        <w:rPr>
          <w:rFonts w:ascii="Nirmala UI" w:hAnsi="Nirmala UI" w:cs="Nirmala UI"/>
          <w:color w:val="000000"/>
        </w:rPr>
        <w:t>30 diciembre</w:t>
      </w:r>
      <w:r w:rsidRPr="00365BDF">
        <w:rPr>
          <w:rFonts w:ascii="Nirmala UI" w:hAnsi="Nirmala UI" w:cs="Nirmala UI"/>
          <w:color w:val="000000"/>
        </w:rPr>
        <w:t xml:space="preserve"> 20</w:t>
      </w:r>
      <w:r w:rsidR="00DD0D2A" w:rsidRPr="00365BDF">
        <w:rPr>
          <w:rFonts w:ascii="Nirmala UI" w:hAnsi="Nirmala UI" w:cs="Nirmala UI"/>
          <w:color w:val="000000"/>
        </w:rPr>
        <w:t>16</w:t>
      </w:r>
      <w:r w:rsidRPr="00365BDF">
        <w:rPr>
          <w:rFonts w:ascii="Nirmala UI" w:hAnsi="Nirmala UI" w:cs="Nirmala UI"/>
          <w:color w:val="000000"/>
        </w:rPr>
        <w:t>).</w:t>
      </w:r>
    </w:p>
    <w:p w14:paraId="02919D22" w14:textId="77777777" w:rsidR="008822B6" w:rsidRPr="00365BDF" w:rsidRDefault="008822B6" w:rsidP="008822B6">
      <w:pPr>
        <w:autoSpaceDE w:val="0"/>
        <w:autoSpaceDN w:val="0"/>
        <w:adjustRightInd w:val="0"/>
        <w:spacing w:after="0" w:line="240" w:lineRule="auto"/>
        <w:ind w:left="360"/>
        <w:jc w:val="both"/>
        <w:rPr>
          <w:rFonts w:ascii="Nirmala UI" w:hAnsi="Nirmala UI" w:cs="Nirmala UI"/>
          <w:color w:val="000000"/>
        </w:rPr>
      </w:pPr>
    </w:p>
    <w:p w14:paraId="2A3320BC" w14:textId="77777777" w:rsidR="00922F64" w:rsidRPr="00365BDF" w:rsidRDefault="00922F64" w:rsidP="00922F64">
      <w:pPr>
        <w:autoSpaceDE w:val="0"/>
        <w:autoSpaceDN w:val="0"/>
        <w:adjustRightInd w:val="0"/>
        <w:spacing w:after="0" w:line="240" w:lineRule="auto"/>
        <w:jc w:val="both"/>
        <w:rPr>
          <w:rFonts w:ascii="Nirmala UI" w:hAnsi="Nirmala UI" w:cs="Nirmala UI"/>
          <w:color w:val="000000"/>
        </w:rPr>
      </w:pPr>
    </w:p>
    <w:p w14:paraId="067B9967" w14:textId="2333585C" w:rsidR="00922F64" w:rsidRPr="00365BDF" w:rsidRDefault="00922F64" w:rsidP="00922F64">
      <w:pPr>
        <w:autoSpaceDE w:val="0"/>
        <w:autoSpaceDN w:val="0"/>
        <w:adjustRightInd w:val="0"/>
        <w:spacing w:after="0" w:line="240" w:lineRule="auto"/>
        <w:jc w:val="both"/>
        <w:rPr>
          <w:rFonts w:ascii="Nirmala UI" w:hAnsi="Nirmala UI" w:cs="Nirmala UI"/>
          <w:b/>
          <w:i/>
          <w:iCs/>
          <w:color w:val="000000"/>
        </w:rPr>
      </w:pPr>
      <w:r w:rsidRPr="00365BDF">
        <w:rPr>
          <w:rFonts w:ascii="Nirmala UI" w:hAnsi="Nirmala UI" w:cs="Nirmala UI"/>
          <w:b/>
          <w:color w:val="000000"/>
        </w:rPr>
        <w:t xml:space="preserve">Quinta. </w:t>
      </w:r>
      <w:r w:rsidR="0046317F" w:rsidRPr="00365BDF">
        <w:rPr>
          <w:rFonts w:ascii="Nirmala UI" w:hAnsi="Nirmala UI" w:cs="Nirmala UI"/>
          <w:b/>
          <w:i/>
          <w:iCs/>
          <w:color w:val="000000"/>
        </w:rPr>
        <w:t>Aportación de</w:t>
      </w:r>
      <w:r w:rsidRPr="00365BDF">
        <w:rPr>
          <w:rFonts w:ascii="Nirmala UI" w:hAnsi="Nirmala UI" w:cs="Nirmala UI"/>
          <w:b/>
          <w:i/>
          <w:iCs/>
          <w:color w:val="000000"/>
        </w:rPr>
        <w:t xml:space="preserve"> </w:t>
      </w:r>
      <w:r w:rsidR="00DD0D2A" w:rsidRPr="00365BDF">
        <w:rPr>
          <w:rFonts w:ascii="Nirmala UI" w:hAnsi="Nirmala UI" w:cs="Nirmala UI"/>
          <w:b/>
          <w:i/>
          <w:iCs/>
          <w:color w:val="000000"/>
        </w:rPr>
        <w:t>la</w:t>
      </w:r>
      <w:r w:rsidR="00C568C7">
        <w:rPr>
          <w:rFonts w:ascii="Nirmala UI" w:hAnsi="Nirmala UI" w:cs="Nirmala UI"/>
          <w:b/>
          <w:i/>
          <w:iCs/>
          <w:color w:val="000000"/>
        </w:rPr>
        <w:t xml:space="preserve"> Comunidad </w:t>
      </w:r>
      <w:r w:rsidR="0046317F" w:rsidRPr="00365BDF">
        <w:rPr>
          <w:rFonts w:ascii="Nirmala UI" w:hAnsi="Nirmala UI" w:cs="Nirmala UI"/>
          <w:b/>
          <w:i/>
          <w:iCs/>
          <w:color w:val="000000"/>
        </w:rPr>
        <w:t>A</w:t>
      </w:r>
      <w:r w:rsidR="00C568C7">
        <w:rPr>
          <w:rFonts w:ascii="Nirmala UI" w:hAnsi="Nirmala UI" w:cs="Nirmala UI"/>
          <w:b/>
          <w:i/>
          <w:iCs/>
          <w:color w:val="000000"/>
        </w:rPr>
        <w:t>utónoma</w:t>
      </w:r>
    </w:p>
    <w:p w14:paraId="64DAC919" w14:textId="20E3C396" w:rsidR="002F40AC" w:rsidRPr="002274B8" w:rsidRDefault="002F40AC" w:rsidP="00364CF4">
      <w:pPr>
        <w:pStyle w:val="Sinespaciado"/>
        <w:numPr>
          <w:ilvl w:val="0"/>
          <w:numId w:val="26"/>
        </w:numPr>
        <w:jc w:val="both"/>
        <w:rPr>
          <w:rFonts w:ascii="Nirmala UI" w:hAnsi="Nirmala UI" w:cs="Nirmala UI"/>
        </w:rPr>
      </w:pPr>
      <w:r w:rsidRPr="00781187">
        <w:rPr>
          <w:rFonts w:ascii="Nirmala UI" w:hAnsi="Nirmala UI" w:cs="Nirmala UI"/>
        </w:rPr>
        <w:t xml:space="preserve">Las aportaciones de la Comunidad Autónoma de Canarias se efectuarán con cargo a la aplicación </w:t>
      </w:r>
      <w:r w:rsidRPr="002274B8">
        <w:rPr>
          <w:rFonts w:ascii="Nirmala UI" w:hAnsi="Nirmala UI" w:cs="Nirmala UI"/>
        </w:rPr>
        <w:t xml:space="preserve">presupuestaria </w:t>
      </w:r>
      <w:r w:rsidR="00364CF4" w:rsidRPr="00364CF4">
        <w:rPr>
          <w:rFonts w:ascii="Nirmala UI" w:hAnsi="Nirmala UI" w:cs="Nirmala UI"/>
        </w:rPr>
        <w:t xml:space="preserve">1609 432H 7600300 207G0167 </w:t>
      </w:r>
      <w:r w:rsidRPr="002274B8">
        <w:rPr>
          <w:rFonts w:ascii="Nirmala UI" w:hAnsi="Nirmala UI" w:cs="Nirmala UI"/>
        </w:rPr>
        <w:t>(ejercicio 202</w:t>
      </w:r>
      <w:r w:rsidR="006C5CD4" w:rsidRPr="002274B8">
        <w:rPr>
          <w:rFonts w:ascii="Nirmala UI" w:hAnsi="Nirmala UI" w:cs="Nirmala UI"/>
        </w:rPr>
        <w:t>1</w:t>
      </w:r>
      <w:r w:rsidRPr="002274B8">
        <w:rPr>
          <w:rFonts w:ascii="Nirmala UI" w:hAnsi="Nirmala UI" w:cs="Nirmala UI"/>
        </w:rPr>
        <w:t xml:space="preserve">) o concepto equivalente en años sucesivos. </w:t>
      </w:r>
    </w:p>
    <w:p w14:paraId="3861B78C" w14:textId="77777777" w:rsidR="002F40AC" w:rsidRPr="002274B8" w:rsidRDefault="002F40AC" w:rsidP="002F40AC">
      <w:pPr>
        <w:autoSpaceDE w:val="0"/>
        <w:autoSpaceDN w:val="0"/>
        <w:adjustRightInd w:val="0"/>
        <w:spacing w:after="0" w:line="240" w:lineRule="auto"/>
        <w:jc w:val="both"/>
        <w:rPr>
          <w:rFonts w:ascii="Nirmala UI" w:hAnsi="Nirmala UI" w:cs="Nirmala UI"/>
        </w:rPr>
      </w:pPr>
    </w:p>
    <w:p w14:paraId="17CB4C2E" w14:textId="77A99172" w:rsidR="002F40AC" w:rsidRPr="00781187" w:rsidRDefault="002F40AC" w:rsidP="005E14FB">
      <w:pPr>
        <w:pStyle w:val="Prrafodelista"/>
        <w:numPr>
          <w:ilvl w:val="0"/>
          <w:numId w:val="26"/>
        </w:numPr>
        <w:autoSpaceDE w:val="0"/>
        <w:autoSpaceDN w:val="0"/>
        <w:adjustRightInd w:val="0"/>
        <w:spacing w:after="0" w:line="240" w:lineRule="auto"/>
        <w:jc w:val="both"/>
        <w:rPr>
          <w:rFonts w:ascii="Nirmala UI" w:hAnsi="Nirmala UI" w:cs="Nirmala UI"/>
        </w:rPr>
      </w:pPr>
      <w:r w:rsidRPr="00781187">
        <w:rPr>
          <w:rFonts w:ascii="Nirmala UI" w:hAnsi="Nirmala UI" w:cs="Nirmala UI"/>
        </w:rPr>
        <w:t xml:space="preserve">La Comunidad Autónoma de Canarias transferirá el importe de la </w:t>
      </w:r>
      <w:r w:rsidR="00094B5C">
        <w:rPr>
          <w:rFonts w:ascii="Nirmala UI" w:hAnsi="Nirmala UI" w:cs="Nirmala UI"/>
        </w:rPr>
        <w:t>segunda</w:t>
      </w:r>
      <w:r w:rsidRPr="00781187">
        <w:rPr>
          <w:rFonts w:ascii="Nirmala UI" w:hAnsi="Nirmala UI" w:cs="Nirmala UI"/>
        </w:rPr>
        <w:t xml:space="preserve"> anualidad </w:t>
      </w:r>
      <w:r w:rsidRPr="002274B8">
        <w:rPr>
          <w:rFonts w:ascii="Nirmala UI" w:hAnsi="Nirmala UI" w:cs="Nirmala UI"/>
        </w:rPr>
        <w:t>a</w:t>
      </w:r>
      <w:r w:rsidR="00D307DF" w:rsidRPr="002274B8">
        <w:rPr>
          <w:rFonts w:ascii="Nirmala UI" w:hAnsi="Nirmala UI" w:cs="Nirmala UI"/>
        </w:rPr>
        <w:t>l Cabildo de Gran Canaria</w:t>
      </w:r>
      <w:r w:rsidRPr="002274B8">
        <w:rPr>
          <w:rFonts w:ascii="Nirmala UI" w:hAnsi="Nirmala UI" w:cs="Nirmala UI"/>
        </w:rPr>
        <w:t xml:space="preserve">, como financiación anticipada de las actuaciones, conforme a lo establecido por el artículo </w:t>
      </w:r>
      <w:r w:rsidRPr="00781187">
        <w:rPr>
          <w:rFonts w:ascii="Nirmala UI" w:hAnsi="Nirmala UI" w:cs="Nirmala UI"/>
        </w:rPr>
        <w:t xml:space="preserve">10 del Real Decreto-Ley 25/2020, de 3 de julio. </w:t>
      </w:r>
      <w:r w:rsidR="002274B8">
        <w:rPr>
          <w:rFonts w:ascii="Nirmala UI" w:hAnsi="Nirmala UI" w:cs="Nirmala UI"/>
        </w:rPr>
        <w:t>El plazo de ejecución de las actuaciones financiadas con la aportación de la Comunidad Autónoma será de tres, dos o un año, según se realice la aportación de la Comunidad Autónoma.</w:t>
      </w:r>
    </w:p>
    <w:p w14:paraId="77902127" w14:textId="7C59B3D4" w:rsidR="00C568C7" w:rsidRPr="00781187" w:rsidRDefault="00C568C7" w:rsidP="00C568C7">
      <w:pPr>
        <w:pStyle w:val="Default"/>
        <w:jc w:val="both"/>
        <w:rPr>
          <w:rFonts w:ascii="Nirmala UI" w:hAnsi="Nirmala UI" w:cs="Nirmala UI"/>
          <w:color w:val="auto"/>
        </w:rPr>
      </w:pPr>
    </w:p>
    <w:p w14:paraId="6C54C2CF" w14:textId="5A2E94DF" w:rsidR="003F4E1D" w:rsidRPr="00781187" w:rsidRDefault="003F4E1D" w:rsidP="00781187">
      <w:pPr>
        <w:pStyle w:val="Pa15"/>
        <w:numPr>
          <w:ilvl w:val="0"/>
          <w:numId w:val="26"/>
        </w:numPr>
        <w:jc w:val="both"/>
        <w:rPr>
          <w:rFonts w:ascii="Nirmala UI" w:hAnsi="Nirmala UI" w:cs="Nirmala UI"/>
          <w:sz w:val="22"/>
          <w:szCs w:val="22"/>
        </w:rPr>
      </w:pPr>
      <w:r w:rsidRPr="00781187">
        <w:rPr>
          <w:rFonts w:ascii="Nirmala UI" w:hAnsi="Nirmala UI" w:cs="Nirmala UI"/>
          <w:sz w:val="22"/>
          <w:szCs w:val="22"/>
        </w:rPr>
        <w:t xml:space="preserve">Con el fin de no alterar las anualidades comprometidas, si por circunstancias excepcionales debidamente justificadas, las actuaciones no pudieran ser ejecutadas en el plazo previsto, y por tal motivo se solicitara prórroga en el plazo de ejecución y justificación, su concesión por parte de la Comunidad Autónoma, estará condicionada a la prestación de garantía por parte de la Entidad ejecutante y por el importe de las actuaciones pendientes de ejecución, que habrá de constituirse en metálico o en aval bancario, y que se mantendrá hasta que la Administración autorice su cancelación, una vez ejecutadas y debidamente justificadas. </w:t>
      </w:r>
    </w:p>
    <w:p w14:paraId="45682CD9" w14:textId="77777777" w:rsidR="003F4E1D" w:rsidRPr="00781187" w:rsidRDefault="003F4E1D" w:rsidP="003F4E1D">
      <w:pPr>
        <w:pStyle w:val="Pa15"/>
        <w:ind w:left="360"/>
        <w:jc w:val="both"/>
        <w:rPr>
          <w:rFonts w:ascii="Nirmala UI" w:hAnsi="Nirmala UI" w:cs="Nirmala UI"/>
          <w:sz w:val="22"/>
          <w:szCs w:val="22"/>
        </w:rPr>
      </w:pPr>
    </w:p>
    <w:p w14:paraId="62E654C3" w14:textId="5EF7B1ED" w:rsidR="006A61D6" w:rsidRPr="00781187" w:rsidRDefault="00961C41" w:rsidP="006A61D6">
      <w:pPr>
        <w:pStyle w:val="Pa6"/>
        <w:ind w:left="360"/>
        <w:jc w:val="both"/>
        <w:rPr>
          <w:rFonts w:ascii="Nirmala UI" w:hAnsi="Nirmala UI" w:cs="Nirmala UI"/>
          <w:sz w:val="22"/>
          <w:szCs w:val="22"/>
        </w:rPr>
      </w:pPr>
      <w:r w:rsidRPr="00781187">
        <w:rPr>
          <w:rFonts w:ascii="Nirmala UI" w:hAnsi="Nirmala UI" w:cs="Nirmala UI"/>
          <w:sz w:val="22"/>
          <w:szCs w:val="22"/>
        </w:rPr>
        <w:t xml:space="preserve">La referida garantía se constituirá en la Caja General de Depósitos o en sus sucursales, a disposición de la </w:t>
      </w:r>
      <w:r w:rsidR="008822B6" w:rsidRPr="00781187">
        <w:rPr>
          <w:rFonts w:ascii="Nirmala UI" w:hAnsi="Nirmala UI" w:cs="Nirmala UI"/>
          <w:sz w:val="22"/>
          <w:szCs w:val="22"/>
        </w:rPr>
        <w:t xml:space="preserve">CA </w:t>
      </w:r>
      <w:r w:rsidRPr="00781187">
        <w:rPr>
          <w:rFonts w:ascii="Nirmala UI" w:hAnsi="Nirmala UI" w:cs="Nirmala UI"/>
          <w:sz w:val="22"/>
          <w:szCs w:val="22"/>
        </w:rPr>
        <w:t xml:space="preserve">con sujeción a lo dispuesto en el Título II, capítulo I o III del Reglamento de la Caja General de Depósitos, aprobado por Real Decreto 161/1997 de 7 de febrero o conforme disponga la CA firmante del convenio según </w:t>
      </w:r>
      <w:r w:rsidR="002F40AC" w:rsidRPr="00781187">
        <w:rPr>
          <w:rFonts w:ascii="Nirmala UI" w:hAnsi="Nirmala UI" w:cs="Nirmala UI"/>
          <w:sz w:val="22"/>
          <w:szCs w:val="22"/>
        </w:rPr>
        <w:t>la normativa autonómica que sea de aplicación</w:t>
      </w:r>
      <w:r w:rsidRPr="00781187">
        <w:rPr>
          <w:rFonts w:ascii="Nirmala UI" w:hAnsi="Nirmala UI" w:cs="Nirmala UI"/>
          <w:sz w:val="22"/>
          <w:szCs w:val="22"/>
        </w:rPr>
        <w:t>.</w:t>
      </w:r>
    </w:p>
    <w:p w14:paraId="428B4F92" w14:textId="77777777" w:rsidR="000D11A8" w:rsidRPr="00781187" w:rsidRDefault="000D11A8" w:rsidP="000D11A8">
      <w:pPr>
        <w:pStyle w:val="Default"/>
        <w:rPr>
          <w:color w:val="auto"/>
        </w:rPr>
      </w:pPr>
    </w:p>
    <w:p w14:paraId="271F5A4F" w14:textId="77777777" w:rsidR="000D11A8" w:rsidRPr="00781187" w:rsidRDefault="000D11A8" w:rsidP="000D11A8">
      <w:pPr>
        <w:pStyle w:val="Default"/>
        <w:ind w:left="360"/>
        <w:rPr>
          <w:rFonts w:ascii="Nirmala UI" w:hAnsi="Nirmala UI" w:cs="Nirmala UI"/>
          <w:color w:val="auto"/>
          <w:sz w:val="22"/>
          <w:szCs w:val="22"/>
        </w:rPr>
      </w:pPr>
      <w:r w:rsidRPr="00781187">
        <w:rPr>
          <w:rFonts w:ascii="Nirmala UI" w:hAnsi="Nirmala UI" w:cs="Nirmala UI"/>
          <w:color w:val="auto"/>
          <w:sz w:val="22"/>
          <w:szCs w:val="22"/>
        </w:rPr>
        <w:t>La garantía no podrá ser pignorada y los gastos que genere la prestación del aval serán por cuenta de la Entidad Local, no pudiendo imputarse a la cuenta del Plan.</w:t>
      </w:r>
    </w:p>
    <w:p w14:paraId="02C145FB" w14:textId="77777777" w:rsidR="000D11A8" w:rsidRPr="00781187" w:rsidRDefault="000D11A8" w:rsidP="000D11A8">
      <w:pPr>
        <w:pStyle w:val="Default"/>
        <w:rPr>
          <w:color w:val="auto"/>
        </w:rPr>
      </w:pPr>
    </w:p>
    <w:p w14:paraId="33499F84" w14:textId="0F9BD1A7" w:rsidR="00836F36" w:rsidRPr="00781187" w:rsidRDefault="006A61D6" w:rsidP="005E14FB">
      <w:pPr>
        <w:pStyle w:val="Pa6"/>
        <w:numPr>
          <w:ilvl w:val="0"/>
          <w:numId w:val="26"/>
        </w:numPr>
        <w:jc w:val="both"/>
        <w:rPr>
          <w:rFonts w:ascii="Nirmala UI" w:hAnsi="Nirmala UI" w:cs="Nirmala UI"/>
          <w:sz w:val="22"/>
          <w:szCs w:val="22"/>
        </w:rPr>
      </w:pPr>
      <w:r w:rsidRPr="00781187">
        <w:rPr>
          <w:rFonts w:ascii="Nirmala UI" w:hAnsi="Nirmala UI" w:cs="Nirmala UI"/>
          <w:sz w:val="22"/>
          <w:szCs w:val="22"/>
        </w:rPr>
        <w:t>L</w:t>
      </w:r>
      <w:r w:rsidR="00836F36" w:rsidRPr="00781187">
        <w:rPr>
          <w:rFonts w:ascii="Nirmala UI" w:hAnsi="Nirmala UI" w:cs="Nirmala UI"/>
          <w:sz w:val="22"/>
          <w:szCs w:val="22"/>
        </w:rPr>
        <w:t xml:space="preserve">a justificación documental de la aplicación de la totalidad de los fondos correspondientes a la </w:t>
      </w:r>
      <w:r w:rsidR="000D11A8" w:rsidRPr="00781187">
        <w:rPr>
          <w:rFonts w:ascii="Nirmala UI" w:hAnsi="Nirmala UI" w:cs="Nirmala UI"/>
          <w:sz w:val="22"/>
          <w:szCs w:val="22"/>
        </w:rPr>
        <w:t xml:space="preserve">aportación de la C.A. </w:t>
      </w:r>
      <w:r w:rsidR="00836F36" w:rsidRPr="00781187">
        <w:rPr>
          <w:rFonts w:ascii="Nirmala UI" w:hAnsi="Nirmala UI" w:cs="Nirmala UI"/>
          <w:sz w:val="22"/>
          <w:szCs w:val="22"/>
        </w:rPr>
        <w:t>se realizará en</w:t>
      </w:r>
      <w:r w:rsidR="00365EFD" w:rsidRPr="00781187">
        <w:rPr>
          <w:rFonts w:ascii="Nirmala UI" w:hAnsi="Nirmala UI" w:cs="Nirmala UI"/>
          <w:sz w:val="22"/>
          <w:szCs w:val="22"/>
        </w:rPr>
        <w:t xml:space="preserve"> el mes siguiente a la finalización de las actuaciones </w:t>
      </w:r>
      <w:r w:rsidR="00836F36" w:rsidRPr="00781187">
        <w:rPr>
          <w:rFonts w:ascii="Nirmala UI" w:hAnsi="Nirmala UI" w:cs="Nirmala UI"/>
          <w:sz w:val="22"/>
          <w:szCs w:val="22"/>
        </w:rPr>
        <w:t>mediante la presentación de los siguientes documentos a</w:t>
      </w:r>
      <w:r w:rsidR="002F40AC" w:rsidRPr="00781187">
        <w:rPr>
          <w:rFonts w:ascii="Nirmala UI" w:hAnsi="Nirmala UI" w:cs="Nirmala UI"/>
          <w:sz w:val="22"/>
          <w:szCs w:val="22"/>
        </w:rPr>
        <w:t xml:space="preserve"> la Viceconsejería de Turismo del Gobierno de Canarias:</w:t>
      </w:r>
    </w:p>
    <w:p w14:paraId="2A79531C" w14:textId="77777777" w:rsidR="00836F36" w:rsidRPr="00781187" w:rsidRDefault="00836F36" w:rsidP="00E83730">
      <w:pPr>
        <w:pStyle w:val="Pa7"/>
        <w:spacing w:before="160" w:line="276" w:lineRule="auto"/>
        <w:ind w:left="340"/>
        <w:jc w:val="both"/>
        <w:rPr>
          <w:rFonts w:ascii="Nirmala UI" w:hAnsi="Nirmala UI" w:cs="Nirmala UI"/>
          <w:sz w:val="22"/>
          <w:szCs w:val="22"/>
        </w:rPr>
      </w:pPr>
      <w:r w:rsidRPr="00781187">
        <w:rPr>
          <w:rFonts w:ascii="Nirmala UI" w:hAnsi="Nirmala UI" w:cs="Nirmala UI"/>
          <w:sz w:val="22"/>
          <w:szCs w:val="22"/>
        </w:rPr>
        <w:t>a) Memoria general, en la que se recoja el grado de cumplimiento alcanzado en relación con los objetivos propuestos.</w:t>
      </w:r>
    </w:p>
    <w:p w14:paraId="0B762FF1" w14:textId="77777777" w:rsidR="00836F36" w:rsidRPr="00781187" w:rsidRDefault="00836F36" w:rsidP="00E83730">
      <w:pPr>
        <w:pStyle w:val="Pa6"/>
        <w:spacing w:line="276" w:lineRule="auto"/>
        <w:ind w:firstLine="340"/>
        <w:jc w:val="both"/>
        <w:rPr>
          <w:rFonts w:ascii="Nirmala UI" w:hAnsi="Nirmala UI" w:cs="Nirmala UI"/>
          <w:sz w:val="22"/>
          <w:szCs w:val="22"/>
        </w:rPr>
      </w:pPr>
      <w:r w:rsidRPr="00781187">
        <w:rPr>
          <w:rFonts w:ascii="Nirmala UI" w:hAnsi="Nirmala UI" w:cs="Nirmala UI"/>
          <w:sz w:val="22"/>
          <w:szCs w:val="22"/>
        </w:rPr>
        <w:t>b) Informe escueto por cada actuación.</w:t>
      </w:r>
    </w:p>
    <w:p w14:paraId="5019F110" w14:textId="77777777" w:rsidR="00836F36" w:rsidRPr="00781187" w:rsidRDefault="00836F36" w:rsidP="00E83730">
      <w:pPr>
        <w:pStyle w:val="Pa6"/>
        <w:spacing w:line="276" w:lineRule="auto"/>
        <w:ind w:firstLine="340"/>
        <w:jc w:val="both"/>
        <w:rPr>
          <w:rFonts w:ascii="Nirmala UI" w:hAnsi="Nirmala UI" w:cs="Nirmala UI"/>
          <w:sz w:val="22"/>
          <w:szCs w:val="22"/>
        </w:rPr>
      </w:pPr>
      <w:r w:rsidRPr="00781187">
        <w:rPr>
          <w:rFonts w:ascii="Nirmala UI" w:hAnsi="Nirmala UI" w:cs="Nirmala UI"/>
          <w:sz w:val="22"/>
          <w:szCs w:val="22"/>
        </w:rPr>
        <w:t>c) Informe sobre las repercusiones del Plan en medios de comunicación.</w:t>
      </w:r>
    </w:p>
    <w:p w14:paraId="0E41DBB7" w14:textId="32ED2435" w:rsidR="00836F36" w:rsidRPr="00781187" w:rsidRDefault="00836F36" w:rsidP="00E83730">
      <w:pPr>
        <w:pStyle w:val="Pa6"/>
        <w:spacing w:line="276" w:lineRule="auto"/>
        <w:ind w:left="340"/>
        <w:jc w:val="both"/>
        <w:rPr>
          <w:rFonts w:ascii="Nirmala UI" w:hAnsi="Nirmala UI" w:cs="Nirmala UI"/>
          <w:sz w:val="22"/>
          <w:szCs w:val="22"/>
        </w:rPr>
      </w:pPr>
      <w:r w:rsidRPr="00781187">
        <w:rPr>
          <w:rFonts w:ascii="Nirmala UI" w:hAnsi="Nirmala UI" w:cs="Nirmala UI"/>
          <w:sz w:val="22"/>
          <w:szCs w:val="22"/>
        </w:rPr>
        <w:t xml:space="preserve">d) Certificado de haberse registrado en la contabilidad el ingreso de </w:t>
      </w:r>
      <w:r w:rsidR="00E816F8" w:rsidRPr="00781187">
        <w:rPr>
          <w:rFonts w:ascii="Nirmala UI" w:hAnsi="Nirmala UI" w:cs="Nirmala UI"/>
          <w:sz w:val="22"/>
          <w:szCs w:val="22"/>
        </w:rPr>
        <w:t>la Comunidad Autónoma</w:t>
      </w:r>
      <w:r w:rsidR="003F7276" w:rsidRPr="00781187">
        <w:rPr>
          <w:rFonts w:ascii="Nirmala UI" w:hAnsi="Nirmala UI" w:cs="Nirmala UI"/>
          <w:sz w:val="22"/>
          <w:szCs w:val="22"/>
        </w:rPr>
        <w:t xml:space="preserve"> </w:t>
      </w:r>
      <w:r w:rsidRPr="00781187">
        <w:rPr>
          <w:rFonts w:ascii="Nirmala UI" w:hAnsi="Nirmala UI" w:cs="Nirmala UI"/>
          <w:sz w:val="22"/>
          <w:szCs w:val="22"/>
        </w:rPr>
        <w:t xml:space="preserve">que se justifica, así como los de las otras partes correspondientes a </w:t>
      </w:r>
      <w:r w:rsidR="003F7276" w:rsidRPr="00781187">
        <w:rPr>
          <w:rFonts w:ascii="Nirmala UI" w:hAnsi="Nirmala UI" w:cs="Nirmala UI"/>
          <w:sz w:val="22"/>
          <w:szCs w:val="22"/>
        </w:rPr>
        <w:t xml:space="preserve">cada </w:t>
      </w:r>
      <w:r w:rsidRPr="00781187">
        <w:rPr>
          <w:rFonts w:ascii="Nirmala UI" w:hAnsi="Nirmala UI" w:cs="Nirmala UI"/>
          <w:sz w:val="22"/>
          <w:szCs w:val="22"/>
        </w:rPr>
        <w:t>anualidad, en caso de que proceda, según el cuadro financiero de distribución de anualidades.</w:t>
      </w:r>
    </w:p>
    <w:p w14:paraId="0F96BA59" w14:textId="6F732E53" w:rsidR="00836F36" w:rsidRPr="002274B8" w:rsidRDefault="00836F36" w:rsidP="00E83730">
      <w:pPr>
        <w:pStyle w:val="Pa6"/>
        <w:spacing w:line="276" w:lineRule="auto"/>
        <w:ind w:left="340"/>
        <w:jc w:val="both"/>
        <w:rPr>
          <w:rFonts w:ascii="Nirmala UI" w:hAnsi="Nirmala UI" w:cs="Nirmala UI"/>
          <w:sz w:val="22"/>
          <w:szCs w:val="22"/>
        </w:rPr>
      </w:pPr>
      <w:r w:rsidRPr="00365BDF">
        <w:rPr>
          <w:rFonts w:ascii="Nirmala UI" w:hAnsi="Nirmala UI" w:cs="Nirmala UI"/>
          <w:color w:val="000000"/>
          <w:sz w:val="22"/>
          <w:szCs w:val="22"/>
        </w:rPr>
        <w:t xml:space="preserve">e) Informe del </w:t>
      </w:r>
      <w:r w:rsidRPr="002274B8">
        <w:rPr>
          <w:rFonts w:ascii="Nirmala UI" w:hAnsi="Nirmala UI" w:cs="Nirmala UI"/>
          <w:sz w:val="22"/>
          <w:szCs w:val="22"/>
        </w:rPr>
        <w:t>Interventor de</w:t>
      </w:r>
      <w:r w:rsidR="00D307DF" w:rsidRPr="002274B8">
        <w:rPr>
          <w:rFonts w:ascii="Nirmala UI" w:hAnsi="Nirmala UI" w:cs="Nirmala UI"/>
          <w:sz w:val="22"/>
          <w:szCs w:val="22"/>
        </w:rPr>
        <w:t>l Cabildo de Gran Canaria</w:t>
      </w:r>
      <w:r w:rsidRPr="002274B8">
        <w:rPr>
          <w:rFonts w:ascii="Nirmala UI" w:hAnsi="Nirmala UI" w:cs="Nirmala UI"/>
          <w:sz w:val="22"/>
          <w:szCs w:val="22"/>
        </w:rPr>
        <w:t xml:space="preserve"> de las obligaciones reconocidas imputadas a cada proyecto.</w:t>
      </w:r>
    </w:p>
    <w:p w14:paraId="2477AB05" w14:textId="77777777" w:rsidR="00836F36" w:rsidRPr="002274B8" w:rsidRDefault="00836F36" w:rsidP="00E83730">
      <w:pPr>
        <w:pStyle w:val="Sinespaciado"/>
        <w:spacing w:line="276" w:lineRule="auto"/>
        <w:ind w:left="340"/>
        <w:jc w:val="both"/>
        <w:rPr>
          <w:rFonts w:ascii="Nirmala UI" w:hAnsi="Nirmala UI" w:cs="Nirmala UI"/>
        </w:rPr>
      </w:pPr>
      <w:r w:rsidRPr="002274B8">
        <w:rPr>
          <w:rFonts w:ascii="Nirmala UI" w:hAnsi="Nirmala UI" w:cs="Nirmala UI"/>
        </w:rPr>
        <w:t>f) Informe del Interventor de la Administración ejecutora en el que se haga constar que todas las facturas han sido pagadas.</w:t>
      </w:r>
    </w:p>
    <w:p w14:paraId="1DE8AB9F" w14:textId="09219E12" w:rsidR="00836F36" w:rsidRPr="00F94ADD" w:rsidRDefault="00836F36" w:rsidP="00E83730">
      <w:pPr>
        <w:pStyle w:val="Sinespaciado"/>
        <w:spacing w:line="276" w:lineRule="auto"/>
        <w:ind w:left="340"/>
        <w:jc w:val="both"/>
        <w:rPr>
          <w:rFonts w:ascii="Nirmala UI" w:hAnsi="Nirmala UI" w:cs="Nirmala UI"/>
        </w:rPr>
      </w:pPr>
      <w:r w:rsidRPr="002274B8">
        <w:rPr>
          <w:rFonts w:ascii="Nirmala UI" w:hAnsi="Nirmala UI" w:cs="Nirmala UI"/>
        </w:rPr>
        <w:t>g) Certificado del Secretario de</w:t>
      </w:r>
      <w:r w:rsidR="00D307DF" w:rsidRPr="002274B8">
        <w:rPr>
          <w:rFonts w:ascii="Nirmala UI" w:hAnsi="Nirmala UI" w:cs="Nirmala UI"/>
        </w:rPr>
        <w:t>l</w:t>
      </w:r>
      <w:r w:rsidRPr="002274B8">
        <w:rPr>
          <w:rFonts w:ascii="Nirmala UI" w:hAnsi="Nirmala UI" w:cs="Nirmala UI"/>
        </w:rPr>
        <w:t xml:space="preserve"> </w:t>
      </w:r>
      <w:r w:rsidR="00D307DF" w:rsidRPr="002274B8">
        <w:rPr>
          <w:rFonts w:ascii="Nirmala UI" w:hAnsi="Nirmala UI" w:cs="Nirmala UI"/>
        </w:rPr>
        <w:t xml:space="preserve">Cabildo de Gran Canaria </w:t>
      </w:r>
      <w:r w:rsidRPr="002274B8">
        <w:rPr>
          <w:rFonts w:ascii="Nirmala UI" w:hAnsi="Nirmala UI" w:cs="Nirmala UI"/>
        </w:rPr>
        <w:t xml:space="preserve">sobre la realización de las actuaciones, en el que se consignarán los importes </w:t>
      </w:r>
      <w:r w:rsidRPr="00F94ADD">
        <w:rPr>
          <w:rFonts w:ascii="Nirmala UI" w:hAnsi="Nirmala UI" w:cs="Nirmala UI"/>
        </w:rPr>
        <w:t>ejecutados correspondientes a las mismas, con el visto bueno del Presidente de la Comisión de Seguimiento.</w:t>
      </w:r>
    </w:p>
    <w:p w14:paraId="020CAD36" w14:textId="1816213C" w:rsidR="00836F36" w:rsidRPr="00365BDF" w:rsidRDefault="00836F36" w:rsidP="00E83730">
      <w:pPr>
        <w:autoSpaceDE w:val="0"/>
        <w:autoSpaceDN w:val="0"/>
        <w:adjustRightInd w:val="0"/>
        <w:spacing w:after="0" w:line="276" w:lineRule="auto"/>
        <w:ind w:left="340"/>
        <w:jc w:val="both"/>
        <w:rPr>
          <w:rFonts w:ascii="Nirmala UI" w:hAnsi="Nirmala UI" w:cs="Nirmala UI"/>
          <w:color w:val="000000"/>
        </w:rPr>
      </w:pPr>
      <w:r w:rsidRPr="00F94ADD">
        <w:rPr>
          <w:rFonts w:ascii="Nirmala UI" w:hAnsi="Nirmala UI" w:cs="Nirmala UI"/>
        </w:rPr>
        <w:t xml:space="preserve">h) Acta de la Comisión de Seguimiento o documento de cierre de </w:t>
      </w:r>
      <w:r w:rsidR="003F7276" w:rsidRPr="00F94ADD">
        <w:rPr>
          <w:rFonts w:ascii="Nirmala UI" w:hAnsi="Nirmala UI" w:cs="Nirmala UI"/>
        </w:rPr>
        <w:t>cada</w:t>
      </w:r>
      <w:r w:rsidRPr="00F94ADD">
        <w:rPr>
          <w:rFonts w:ascii="Nirmala UI" w:hAnsi="Nirmala UI" w:cs="Nirmala UI"/>
        </w:rPr>
        <w:t xml:space="preserve"> anualidad suscrito por todas las partes del convenio, en el que conste la inversión </w:t>
      </w:r>
      <w:r w:rsidRPr="00365BDF">
        <w:rPr>
          <w:rFonts w:ascii="Nirmala UI" w:hAnsi="Nirmala UI" w:cs="Nirmala UI"/>
          <w:color w:val="000000"/>
        </w:rPr>
        <w:t>inicial y la final detallada por actuaciones.</w:t>
      </w:r>
    </w:p>
    <w:p w14:paraId="69F1DAFB" w14:textId="203374F9" w:rsidR="009B6ED9" w:rsidRPr="00365BDF" w:rsidRDefault="009B6ED9" w:rsidP="007B37EE">
      <w:pPr>
        <w:autoSpaceDE w:val="0"/>
        <w:autoSpaceDN w:val="0"/>
        <w:adjustRightInd w:val="0"/>
        <w:spacing w:after="0" w:line="240" w:lineRule="auto"/>
        <w:ind w:left="340"/>
        <w:jc w:val="both"/>
        <w:rPr>
          <w:rFonts w:ascii="Nirmala UI" w:hAnsi="Nirmala UI" w:cs="Nirmala UI"/>
          <w:color w:val="000000"/>
        </w:rPr>
      </w:pPr>
    </w:p>
    <w:p w14:paraId="711B3C16" w14:textId="7A1D163F" w:rsidR="009B6ED9" w:rsidRPr="00365BDF" w:rsidRDefault="009B6ED9" w:rsidP="009B6ED9">
      <w:pPr>
        <w:autoSpaceDE w:val="0"/>
        <w:autoSpaceDN w:val="0"/>
        <w:adjustRightInd w:val="0"/>
        <w:spacing w:after="0" w:line="240" w:lineRule="auto"/>
        <w:jc w:val="both"/>
        <w:rPr>
          <w:rFonts w:ascii="Nirmala UI" w:hAnsi="Nirmala UI" w:cs="Nirmala UI"/>
          <w:color w:val="000000"/>
        </w:rPr>
      </w:pPr>
      <w:r w:rsidRPr="00365BDF">
        <w:rPr>
          <w:rFonts w:ascii="Nirmala UI" w:hAnsi="Nirmala UI" w:cs="Nirmala UI"/>
          <w:color w:val="000000"/>
        </w:rPr>
        <w:t>Todo lo anterior se entiende sin perjuicio del compromiso de facilitar toda la información que le sea requerida por</w:t>
      </w:r>
      <w:r w:rsidR="001B4E75">
        <w:rPr>
          <w:rFonts w:ascii="Nirmala UI" w:hAnsi="Nirmala UI" w:cs="Nirmala UI"/>
          <w:b/>
          <w:color w:val="000000"/>
        </w:rPr>
        <w:t xml:space="preserve"> </w:t>
      </w:r>
      <w:r w:rsidR="001B4E75" w:rsidRPr="00252058">
        <w:rPr>
          <w:rFonts w:ascii="Nirmala UI" w:hAnsi="Nirmala UI" w:cs="Nirmala UI"/>
          <w:color w:val="000000"/>
        </w:rPr>
        <w:t>los órganos de Intervención y de control de Cue</w:t>
      </w:r>
      <w:r w:rsidR="00A063C8" w:rsidRPr="00252058">
        <w:rPr>
          <w:rFonts w:ascii="Nirmala UI" w:hAnsi="Nirmala UI" w:cs="Nirmala UI"/>
          <w:color w:val="000000"/>
        </w:rPr>
        <w:t>n</w:t>
      </w:r>
      <w:r w:rsidR="001B4E75" w:rsidRPr="00252058">
        <w:rPr>
          <w:rFonts w:ascii="Nirmala UI" w:hAnsi="Nirmala UI" w:cs="Nirmala UI"/>
          <w:color w:val="000000"/>
        </w:rPr>
        <w:t>tas de la Comunidad Autónoma</w:t>
      </w:r>
      <w:r w:rsidRPr="00365BDF">
        <w:rPr>
          <w:rFonts w:ascii="Nirmala UI" w:hAnsi="Nirmala UI" w:cs="Nirmala UI"/>
          <w:color w:val="000000"/>
        </w:rPr>
        <w:t xml:space="preserve"> en el ejercicio de sus funciones de fiscalización y control del destino de las aportaciones objeto del presente convenio.</w:t>
      </w:r>
    </w:p>
    <w:p w14:paraId="204A2048" w14:textId="77777777" w:rsidR="00836F36" w:rsidRPr="00365BDF" w:rsidRDefault="00836F36" w:rsidP="009A6AB9">
      <w:pPr>
        <w:pStyle w:val="Default"/>
        <w:jc w:val="both"/>
        <w:rPr>
          <w:rFonts w:ascii="Nirmala UI" w:hAnsi="Nirmala UI" w:cs="Nirmala UI"/>
          <w:sz w:val="22"/>
          <w:szCs w:val="22"/>
        </w:rPr>
      </w:pPr>
    </w:p>
    <w:p w14:paraId="63F12C76" w14:textId="48D680EB" w:rsidR="00CD2AA8" w:rsidRPr="00781187" w:rsidRDefault="00CD2AA8" w:rsidP="005E14FB">
      <w:pPr>
        <w:pStyle w:val="Prrafodelista"/>
        <w:numPr>
          <w:ilvl w:val="0"/>
          <w:numId w:val="26"/>
        </w:numPr>
        <w:autoSpaceDE w:val="0"/>
        <w:autoSpaceDN w:val="0"/>
        <w:adjustRightInd w:val="0"/>
        <w:spacing w:after="0" w:line="240" w:lineRule="auto"/>
        <w:jc w:val="both"/>
        <w:rPr>
          <w:rFonts w:ascii="Nirmala UI" w:hAnsi="Nirmala UI" w:cs="Nirmala UI"/>
        </w:rPr>
      </w:pPr>
      <w:r w:rsidRPr="00365BDF">
        <w:rPr>
          <w:rFonts w:ascii="Nirmala UI" w:hAnsi="Nirmala UI" w:cs="Nirmala UI"/>
          <w:color w:val="000000"/>
        </w:rPr>
        <w:t>Asimismo, a la finalización del Plan se remitirá, por parte de la gerencia, una memoria global de las actuaciones realizadas con la ayuda del Plan que incluya la repercusión</w:t>
      </w:r>
      <w:r w:rsidR="0008717A" w:rsidRPr="00365BDF">
        <w:rPr>
          <w:rFonts w:ascii="Nirmala UI" w:hAnsi="Nirmala UI" w:cs="Nirmala UI"/>
          <w:color w:val="000000"/>
        </w:rPr>
        <w:t xml:space="preserve"> social,</w:t>
      </w:r>
      <w:r w:rsidRPr="00365BDF">
        <w:rPr>
          <w:rFonts w:ascii="Nirmala UI" w:hAnsi="Nirmala UI" w:cs="Nirmala UI"/>
          <w:color w:val="000000"/>
        </w:rPr>
        <w:t xml:space="preserve"> económica</w:t>
      </w:r>
      <w:r w:rsidR="0008717A" w:rsidRPr="00365BDF">
        <w:rPr>
          <w:rFonts w:ascii="Nirmala UI" w:hAnsi="Nirmala UI" w:cs="Nirmala UI"/>
          <w:color w:val="000000"/>
        </w:rPr>
        <w:t xml:space="preserve"> y ambiental</w:t>
      </w:r>
      <w:r w:rsidRPr="00365BDF">
        <w:rPr>
          <w:rFonts w:ascii="Nirmala UI" w:hAnsi="Nirmala UI" w:cs="Nirmala UI"/>
          <w:color w:val="000000"/>
        </w:rPr>
        <w:t xml:space="preserve"> en el territorio</w:t>
      </w:r>
      <w:r w:rsidR="008D379D" w:rsidRPr="00365BDF">
        <w:rPr>
          <w:rFonts w:ascii="Nirmala UI" w:hAnsi="Nirmala UI" w:cs="Nirmala UI"/>
          <w:color w:val="000000"/>
        </w:rPr>
        <w:t xml:space="preserve"> conforme a los retos del Programa de Planes de </w:t>
      </w:r>
      <w:r w:rsidR="008D379D" w:rsidRPr="00781187">
        <w:rPr>
          <w:rFonts w:ascii="Nirmala UI" w:hAnsi="Nirmala UI" w:cs="Nirmala UI"/>
        </w:rPr>
        <w:t>Sostenibilidad en Destinos</w:t>
      </w:r>
      <w:r w:rsidRPr="00781187">
        <w:rPr>
          <w:rFonts w:ascii="Nirmala UI" w:hAnsi="Nirmala UI" w:cs="Nirmala UI"/>
        </w:rPr>
        <w:t xml:space="preserve"> y la coordinación </w:t>
      </w:r>
      <w:r w:rsidR="008D379D" w:rsidRPr="00781187">
        <w:rPr>
          <w:rFonts w:ascii="Nirmala UI" w:hAnsi="Nirmala UI" w:cs="Nirmala UI"/>
        </w:rPr>
        <w:t xml:space="preserve">del Plan </w:t>
      </w:r>
      <w:r w:rsidRPr="00781187">
        <w:rPr>
          <w:rFonts w:ascii="Nirmala UI" w:hAnsi="Nirmala UI" w:cs="Nirmala UI"/>
        </w:rPr>
        <w:t>con otros proyectos llevados a cabo en ese espacio geográfico, así como también la previsión de la gestión turística del destino una vez finalizado el Plan de Sostenibilidad.</w:t>
      </w:r>
    </w:p>
    <w:p w14:paraId="36439711" w14:textId="77777777" w:rsidR="00CD2AA8" w:rsidRPr="00781187" w:rsidRDefault="00CD2AA8" w:rsidP="00CD2AA8">
      <w:pPr>
        <w:autoSpaceDE w:val="0"/>
        <w:autoSpaceDN w:val="0"/>
        <w:adjustRightInd w:val="0"/>
        <w:spacing w:after="0" w:line="240" w:lineRule="auto"/>
        <w:jc w:val="both"/>
        <w:rPr>
          <w:rFonts w:ascii="Nirmala UI" w:hAnsi="Nirmala UI" w:cs="Nirmala UI"/>
        </w:rPr>
      </w:pPr>
    </w:p>
    <w:p w14:paraId="255BF43A" w14:textId="25AC82A4" w:rsidR="002F40AC" w:rsidRPr="00781187" w:rsidRDefault="002F40AC" w:rsidP="005E14FB">
      <w:pPr>
        <w:pStyle w:val="Pa6"/>
        <w:numPr>
          <w:ilvl w:val="0"/>
          <w:numId w:val="26"/>
        </w:numPr>
        <w:jc w:val="both"/>
        <w:rPr>
          <w:rFonts w:ascii="Nirmala UI" w:hAnsi="Nirmala UI" w:cs="Nirmala UI"/>
          <w:sz w:val="22"/>
          <w:szCs w:val="22"/>
        </w:rPr>
      </w:pPr>
      <w:r w:rsidRPr="00781187">
        <w:rPr>
          <w:rFonts w:ascii="Nirmala UI" w:hAnsi="Nirmala UI" w:cs="Nirmala UI"/>
          <w:sz w:val="22"/>
          <w:szCs w:val="22"/>
        </w:rPr>
        <w:t xml:space="preserve">La colaboración </w:t>
      </w:r>
      <w:r w:rsidRPr="002274B8">
        <w:rPr>
          <w:rFonts w:ascii="Nirmala UI" w:hAnsi="Nirmala UI" w:cs="Nirmala UI"/>
          <w:sz w:val="22"/>
          <w:szCs w:val="22"/>
        </w:rPr>
        <w:t>de</w:t>
      </w:r>
      <w:r w:rsidR="00D307DF" w:rsidRPr="002274B8">
        <w:rPr>
          <w:rFonts w:ascii="Nirmala UI" w:hAnsi="Nirmala UI" w:cs="Nirmala UI"/>
          <w:sz w:val="22"/>
          <w:szCs w:val="22"/>
        </w:rPr>
        <w:t>l</w:t>
      </w:r>
      <w:r w:rsidRPr="002274B8">
        <w:rPr>
          <w:rFonts w:ascii="Nirmala UI" w:hAnsi="Nirmala UI" w:cs="Nirmala UI"/>
          <w:sz w:val="22"/>
          <w:szCs w:val="22"/>
        </w:rPr>
        <w:t xml:space="preserve"> </w:t>
      </w:r>
      <w:r w:rsidR="00D307DF" w:rsidRPr="002274B8">
        <w:rPr>
          <w:rFonts w:ascii="Nirmala UI" w:hAnsi="Nirmala UI" w:cs="Nirmala UI"/>
          <w:sz w:val="22"/>
          <w:szCs w:val="22"/>
        </w:rPr>
        <w:t xml:space="preserve">Cabildo de Gran Canaria </w:t>
      </w:r>
      <w:r w:rsidRPr="002274B8">
        <w:rPr>
          <w:rFonts w:ascii="Nirmala UI" w:hAnsi="Nirmala UI" w:cs="Nirmala UI"/>
          <w:sz w:val="22"/>
          <w:szCs w:val="22"/>
        </w:rPr>
        <w:t xml:space="preserve">en </w:t>
      </w:r>
      <w:r w:rsidRPr="00781187">
        <w:rPr>
          <w:rFonts w:ascii="Nirmala UI" w:hAnsi="Nirmala UI" w:cs="Nirmala UI"/>
          <w:sz w:val="22"/>
          <w:szCs w:val="22"/>
        </w:rPr>
        <w:t>la realización del presente convenio está sujeta al Decreto 11/2019, de 11 de febrero, por el que se regula la actividad convencional y se crean y regulan el Registro General Electrónico de Convenios del Sector Público de la Comunidad Autónoma de Canarias y el Registro Electrónico de Órganos de Cooperación de la Administración Pública de la Comunidad Autónoma de Canarias, normativa que será de aplicación a las partes responsables de la ejecución del mismo</w:t>
      </w:r>
      <w:r w:rsidR="00F16802" w:rsidRPr="00781187">
        <w:rPr>
          <w:rFonts w:ascii="Nirmala UI" w:hAnsi="Nirmala UI" w:cs="Nirmala UI"/>
          <w:sz w:val="22"/>
          <w:szCs w:val="22"/>
        </w:rPr>
        <w:t>.</w:t>
      </w:r>
    </w:p>
    <w:p w14:paraId="2136C4A7" w14:textId="7E02DFF7" w:rsidR="00674B93" w:rsidRPr="00781187" w:rsidRDefault="00674B93" w:rsidP="00CD2AA8">
      <w:pPr>
        <w:autoSpaceDE w:val="0"/>
        <w:autoSpaceDN w:val="0"/>
        <w:adjustRightInd w:val="0"/>
        <w:spacing w:after="0" w:line="240" w:lineRule="auto"/>
        <w:jc w:val="both"/>
        <w:rPr>
          <w:rFonts w:ascii="Nirmala UI" w:hAnsi="Nirmala UI" w:cs="Nirmala UI"/>
        </w:rPr>
      </w:pPr>
    </w:p>
    <w:p w14:paraId="4D22F3C3" w14:textId="7B972651" w:rsidR="00674B93" w:rsidRPr="00781187" w:rsidRDefault="00674B93" w:rsidP="005E14FB">
      <w:pPr>
        <w:pStyle w:val="Prrafodelista"/>
        <w:numPr>
          <w:ilvl w:val="0"/>
          <w:numId w:val="26"/>
        </w:numPr>
        <w:autoSpaceDE w:val="0"/>
        <w:autoSpaceDN w:val="0"/>
        <w:adjustRightInd w:val="0"/>
        <w:spacing w:after="0" w:line="240" w:lineRule="auto"/>
        <w:jc w:val="both"/>
        <w:rPr>
          <w:rFonts w:ascii="Nirmala UI" w:hAnsi="Nirmala UI" w:cs="Nirmala UI"/>
        </w:rPr>
      </w:pPr>
      <w:r w:rsidRPr="00781187">
        <w:rPr>
          <w:rFonts w:ascii="Nirmala UI" w:hAnsi="Nirmala UI" w:cs="Nirmala UI"/>
        </w:rPr>
        <w:t xml:space="preserve">Los incentivos económicos establecidos serán complementarios y compatibles entre sí y con cualquier otra ayuda de la Unión Europea, de otras administraciones públicas u otros entes públicos o privados, sin que, en ningún caso, aisladamente o en concurrencia con otras puedan superar los límites establecidos por la Unión Europea y los que establece </w:t>
      </w:r>
      <w:r w:rsidR="00F16802" w:rsidRPr="00781187">
        <w:rPr>
          <w:rFonts w:ascii="Nirmala UI" w:hAnsi="Nirmala UI" w:cs="Nirmala UI"/>
        </w:rPr>
        <w:t>la normativa autonómica que sea de aplicación</w:t>
      </w:r>
      <w:r w:rsidRPr="00781187">
        <w:rPr>
          <w:rFonts w:ascii="Nirmala UI" w:hAnsi="Nirmala UI" w:cs="Nirmala UI"/>
        </w:rPr>
        <w:t>.</w:t>
      </w:r>
    </w:p>
    <w:p w14:paraId="50EE696A" w14:textId="77777777" w:rsidR="00674B93" w:rsidRPr="00781187" w:rsidRDefault="00674B93" w:rsidP="00CD2AA8">
      <w:pPr>
        <w:autoSpaceDE w:val="0"/>
        <w:autoSpaceDN w:val="0"/>
        <w:adjustRightInd w:val="0"/>
        <w:spacing w:after="0" w:line="240" w:lineRule="auto"/>
        <w:jc w:val="both"/>
        <w:rPr>
          <w:rFonts w:ascii="Nirmala UI" w:hAnsi="Nirmala UI" w:cs="Nirmala UI"/>
        </w:rPr>
      </w:pPr>
    </w:p>
    <w:p w14:paraId="11BCE882" w14:textId="77777777" w:rsidR="006A61D6" w:rsidRPr="00781187" w:rsidRDefault="00674B93" w:rsidP="006A61D6">
      <w:pPr>
        <w:autoSpaceDE w:val="0"/>
        <w:autoSpaceDN w:val="0"/>
        <w:adjustRightInd w:val="0"/>
        <w:spacing w:after="0" w:line="240" w:lineRule="auto"/>
        <w:jc w:val="both"/>
        <w:rPr>
          <w:rFonts w:ascii="Nirmala UI" w:hAnsi="Nirmala UI" w:cs="Nirmala UI"/>
          <w:b/>
        </w:rPr>
      </w:pPr>
      <w:r w:rsidRPr="00781187">
        <w:rPr>
          <w:rFonts w:ascii="Nirmala UI" w:hAnsi="Nirmala UI" w:cs="Nirmala UI"/>
          <w:b/>
        </w:rPr>
        <w:t xml:space="preserve">Sexta. </w:t>
      </w:r>
      <w:r w:rsidR="00A2516D" w:rsidRPr="00781187">
        <w:rPr>
          <w:rFonts w:ascii="Nirmala UI" w:hAnsi="Nirmala UI" w:cs="Nirmala UI"/>
          <w:b/>
          <w:i/>
        </w:rPr>
        <w:t>Aportación de la Comarca/Consorcio/Mancomunidad</w:t>
      </w:r>
      <w:r w:rsidR="00FC46B6" w:rsidRPr="00781187">
        <w:rPr>
          <w:rFonts w:ascii="Nirmala UI" w:hAnsi="Nirmala UI" w:cs="Nirmala UI"/>
          <w:b/>
          <w:i/>
        </w:rPr>
        <w:t>/EE.LL</w:t>
      </w:r>
      <w:r w:rsidR="002F41A8" w:rsidRPr="00781187">
        <w:rPr>
          <w:rFonts w:ascii="Nirmala UI" w:hAnsi="Nirmala UI" w:cs="Nirmala UI"/>
          <w:b/>
          <w:i/>
        </w:rPr>
        <w:t>.</w:t>
      </w:r>
    </w:p>
    <w:p w14:paraId="1DC34988" w14:textId="641D88F5" w:rsidR="00674B93" w:rsidRPr="00781187" w:rsidRDefault="00674B93" w:rsidP="006A61D6">
      <w:pPr>
        <w:pStyle w:val="Prrafodelista"/>
        <w:numPr>
          <w:ilvl w:val="0"/>
          <w:numId w:val="13"/>
        </w:numPr>
        <w:autoSpaceDE w:val="0"/>
        <w:autoSpaceDN w:val="0"/>
        <w:adjustRightInd w:val="0"/>
        <w:spacing w:after="0" w:line="240" w:lineRule="auto"/>
        <w:jc w:val="both"/>
        <w:rPr>
          <w:rFonts w:ascii="Nirmala UI" w:hAnsi="Nirmala UI" w:cs="Nirmala UI"/>
          <w:b/>
        </w:rPr>
      </w:pPr>
      <w:r w:rsidRPr="00781187">
        <w:rPr>
          <w:rFonts w:ascii="Nirmala UI" w:hAnsi="Nirmala UI" w:cs="Nirmala UI"/>
        </w:rPr>
        <w:t xml:space="preserve">Las aportaciones </w:t>
      </w:r>
      <w:r w:rsidRPr="002274B8">
        <w:rPr>
          <w:rFonts w:ascii="Nirmala UI" w:hAnsi="Nirmala UI" w:cs="Nirmala UI"/>
        </w:rPr>
        <w:t>de</w:t>
      </w:r>
      <w:r w:rsidR="00D307DF" w:rsidRPr="002274B8">
        <w:rPr>
          <w:rFonts w:ascii="Nirmala UI" w:hAnsi="Nirmala UI" w:cs="Nirmala UI"/>
        </w:rPr>
        <w:t>l Cabildo de Gran Canaria</w:t>
      </w:r>
      <w:r w:rsidR="002F41A8" w:rsidRPr="002274B8">
        <w:rPr>
          <w:rFonts w:ascii="Nirmala UI" w:hAnsi="Nirmala UI" w:cs="Nirmala UI"/>
        </w:rPr>
        <w:t xml:space="preserve"> </w:t>
      </w:r>
      <w:r w:rsidR="00ED61E8" w:rsidRPr="002274B8">
        <w:rPr>
          <w:rFonts w:ascii="Nirmala UI" w:hAnsi="Nirmala UI" w:cs="Nirmala UI"/>
        </w:rPr>
        <w:t xml:space="preserve">se efectuarán </w:t>
      </w:r>
      <w:r w:rsidR="009A6AB9" w:rsidRPr="002274B8">
        <w:rPr>
          <w:rFonts w:ascii="Nirmala UI" w:hAnsi="Nirmala UI" w:cs="Nirmala UI"/>
        </w:rPr>
        <w:t>de forma anticipada correspondi</w:t>
      </w:r>
      <w:r w:rsidR="008D379D" w:rsidRPr="002274B8">
        <w:rPr>
          <w:rFonts w:ascii="Nirmala UI" w:hAnsi="Nirmala UI" w:cs="Nirmala UI"/>
        </w:rPr>
        <w:t>e</w:t>
      </w:r>
      <w:r w:rsidR="009A6AB9" w:rsidRPr="002274B8">
        <w:rPr>
          <w:rFonts w:ascii="Nirmala UI" w:hAnsi="Nirmala UI" w:cs="Nirmala UI"/>
        </w:rPr>
        <w:t>ndo</w:t>
      </w:r>
      <w:r w:rsidR="008D379D" w:rsidRPr="002274B8">
        <w:rPr>
          <w:rFonts w:ascii="Nirmala UI" w:hAnsi="Nirmala UI" w:cs="Nirmala UI"/>
        </w:rPr>
        <w:t xml:space="preserve"> a la </w:t>
      </w:r>
      <w:r w:rsidR="00C21566" w:rsidRPr="002274B8">
        <w:rPr>
          <w:rFonts w:ascii="Nirmala UI" w:hAnsi="Nirmala UI" w:cs="Nirmala UI"/>
        </w:rPr>
        <w:t>segunda anualidad</w:t>
      </w:r>
      <w:r w:rsidR="00ED61E8" w:rsidRPr="002274B8">
        <w:rPr>
          <w:rFonts w:ascii="Nirmala UI" w:hAnsi="Nirmala UI" w:cs="Nirmala UI"/>
        </w:rPr>
        <w:t xml:space="preserve"> </w:t>
      </w:r>
      <w:r w:rsidRPr="002274B8">
        <w:rPr>
          <w:rFonts w:ascii="Nirmala UI" w:hAnsi="Nirmala UI" w:cs="Nirmala UI"/>
        </w:rPr>
        <w:t xml:space="preserve">conforme </w:t>
      </w:r>
      <w:r w:rsidRPr="00781187">
        <w:rPr>
          <w:rFonts w:ascii="Nirmala UI" w:hAnsi="Nirmala UI" w:cs="Nirmala UI"/>
        </w:rPr>
        <w:t>a las cantidades que se explicitan en el cuadro</w:t>
      </w:r>
      <w:r w:rsidR="00ED61E8" w:rsidRPr="00781187">
        <w:rPr>
          <w:rFonts w:ascii="Nirmala UI" w:hAnsi="Nirmala UI" w:cs="Nirmala UI"/>
        </w:rPr>
        <w:t xml:space="preserve"> </w:t>
      </w:r>
      <w:r w:rsidR="000D11A8" w:rsidRPr="00781187">
        <w:rPr>
          <w:rFonts w:ascii="Nirmala UI" w:hAnsi="Nirmala UI" w:cs="Nirmala UI"/>
        </w:rPr>
        <w:t xml:space="preserve">financiero descrito </w:t>
      </w:r>
      <w:r w:rsidR="00ED61E8" w:rsidRPr="00781187">
        <w:rPr>
          <w:rFonts w:ascii="Nirmala UI" w:hAnsi="Nirmala UI" w:cs="Nirmala UI"/>
        </w:rPr>
        <w:t xml:space="preserve">con cargo a la aplicación presupuestaria </w:t>
      </w:r>
      <w:r w:rsidR="00B80AB3" w:rsidRPr="00B80AB3">
        <w:rPr>
          <w:rFonts w:ascii="Nirmala UI" w:hAnsi="Nirmala UI" w:cs="Nirmala UI"/>
          <w:highlight w:val="yellow"/>
        </w:rPr>
        <w:t>01581/432/6-2</w:t>
      </w:r>
      <w:r w:rsidR="00B80AB3">
        <w:rPr>
          <w:rFonts w:ascii="Nirmala UI" w:hAnsi="Nirmala UI" w:cs="Nirmala UI"/>
        </w:rPr>
        <w:t xml:space="preserve"> </w:t>
      </w:r>
      <w:r w:rsidR="00ED61E8" w:rsidRPr="00781187">
        <w:rPr>
          <w:rFonts w:ascii="Nirmala UI" w:hAnsi="Nirmala UI" w:cs="Nirmala UI"/>
        </w:rPr>
        <w:t>o concepto equivalente en años sucesivos.</w:t>
      </w:r>
    </w:p>
    <w:p w14:paraId="35DEECC3" w14:textId="77777777" w:rsidR="000D11A8" w:rsidRPr="00781187" w:rsidRDefault="000D11A8" w:rsidP="000D11A8">
      <w:pPr>
        <w:pStyle w:val="Prrafodelista"/>
        <w:autoSpaceDE w:val="0"/>
        <w:autoSpaceDN w:val="0"/>
        <w:adjustRightInd w:val="0"/>
        <w:spacing w:after="0" w:line="240" w:lineRule="auto"/>
        <w:ind w:left="360"/>
        <w:jc w:val="both"/>
        <w:rPr>
          <w:rFonts w:ascii="Nirmala UI" w:hAnsi="Nirmala UI" w:cs="Nirmala UI"/>
          <w:b/>
        </w:rPr>
      </w:pPr>
    </w:p>
    <w:p w14:paraId="1B38F7A2" w14:textId="5B6E7FF6" w:rsidR="00C840E0" w:rsidRPr="00252058" w:rsidRDefault="00D307DF" w:rsidP="00FE5E5C">
      <w:pPr>
        <w:pStyle w:val="Prrafodelista"/>
        <w:numPr>
          <w:ilvl w:val="0"/>
          <w:numId w:val="13"/>
        </w:numPr>
        <w:autoSpaceDE w:val="0"/>
        <w:autoSpaceDN w:val="0"/>
        <w:adjustRightInd w:val="0"/>
        <w:spacing w:after="0" w:line="240" w:lineRule="auto"/>
        <w:jc w:val="both"/>
        <w:rPr>
          <w:rFonts w:ascii="Nirmala UI" w:hAnsi="Nirmala UI" w:cs="Nirmala UI"/>
          <w:color w:val="000000" w:themeColor="text1"/>
        </w:rPr>
      </w:pPr>
      <w:r w:rsidRPr="002274B8">
        <w:rPr>
          <w:rFonts w:ascii="Nirmala UI" w:hAnsi="Nirmala UI" w:cs="Nirmala UI"/>
        </w:rPr>
        <w:t>El Cabildo de Gran Canaria, como EE.LL.</w:t>
      </w:r>
      <w:r w:rsidR="000D11A8" w:rsidRPr="002274B8">
        <w:rPr>
          <w:rFonts w:ascii="Nirmala UI" w:hAnsi="Nirmala UI" w:cs="Nirmala UI"/>
        </w:rPr>
        <w:t xml:space="preserve"> beneficiaria </w:t>
      </w:r>
      <w:r w:rsidR="00A37C4D" w:rsidRPr="002274B8">
        <w:rPr>
          <w:rFonts w:ascii="Nirmala UI" w:hAnsi="Nirmala UI" w:cs="Nirmala UI"/>
        </w:rPr>
        <w:t xml:space="preserve">deberá ingresar en el primer semestre del ejercicio </w:t>
      </w:r>
      <w:r w:rsidR="002274B8" w:rsidRPr="002274B8">
        <w:rPr>
          <w:rFonts w:ascii="Nirmala UI" w:hAnsi="Nirmala UI" w:cs="Nirmala UI"/>
        </w:rPr>
        <w:t>2021 o</w:t>
      </w:r>
      <w:r w:rsidR="00C840E0" w:rsidRPr="002274B8">
        <w:rPr>
          <w:rFonts w:ascii="Nirmala UI" w:hAnsi="Nirmala UI" w:cs="Nirmala UI"/>
        </w:rPr>
        <w:t xml:space="preserve"> el que proceda</w:t>
      </w:r>
      <w:r w:rsidR="00A37C4D" w:rsidRPr="002274B8">
        <w:rPr>
          <w:rFonts w:ascii="Nirmala UI" w:hAnsi="Nirmala UI" w:cs="Nirmala UI"/>
        </w:rPr>
        <w:t xml:space="preserve"> </w:t>
      </w:r>
      <w:r w:rsidR="00A37C4D" w:rsidRPr="00781187">
        <w:rPr>
          <w:rFonts w:ascii="Nirmala UI" w:hAnsi="Nirmala UI" w:cs="Nirmala UI"/>
        </w:rPr>
        <w:t>la cantidad correspondiente a su aportación en la cuenta bancaria destinada para la ejecución del Plan. En caso contrario,</w:t>
      </w:r>
      <w:r w:rsidR="00C840E0" w:rsidRPr="00781187">
        <w:rPr>
          <w:rFonts w:ascii="Nirmala UI" w:hAnsi="Nirmala UI" w:cs="Nirmala UI"/>
        </w:rPr>
        <w:t xml:space="preserve"> se considerará como un supuesto de incumplimiento de las obligaciones y compromisos del convenio </w:t>
      </w:r>
      <w:r w:rsidR="00C840E0" w:rsidRPr="00252058">
        <w:rPr>
          <w:rFonts w:ascii="Nirmala UI" w:hAnsi="Nirmala UI" w:cs="Nirmala UI"/>
          <w:color w:val="000000" w:themeColor="text1"/>
        </w:rPr>
        <w:t>determinante de la resolución del mismo al amparo del artículo 51 de la Ley 40/2015 de 1 de octubre. La indemnización por incumplimiento</w:t>
      </w:r>
      <w:r w:rsidR="00257217" w:rsidRPr="00252058">
        <w:rPr>
          <w:rFonts w:ascii="Nirmala UI" w:hAnsi="Nirmala UI" w:cs="Nirmala UI"/>
          <w:color w:val="000000" w:themeColor="text1"/>
        </w:rPr>
        <w:t>,</w:t>
      </w:r>
      <w:r w:rsidR="00C840E0" w:rsidRPr="00252058">
        <w:rPr>
          <w:rFonts w:ascii="Nirmala UI" w:hAnsi="Nirmala UI" w:cs="Nirmala UI"/>
          <w:color w:val="000000" w:themeColor="text1"/>
        </w:rPr>
        <w:t xml:space="preserve"> que abonará al Estado y a la CA por partes iguales</w:t>
      </w:r>
      <w:r w:rsidR="00257217" w:rsidRPr="00252058">
        <w:rPr>
          <w:rFonts w:ascii="Nirmala UI" w:hAnsi="Nirmala UI" w:cs="Nirmala UI"/>
          <w:color w:val="000000" w:themeColor="text1"/>
        </w:rPr>
        <w:t>,</w:t>
      </w:r>
      <w:r w:rsidR="00C840E0" w:rsidRPr="00252058">
        <w:rPr>
          <w:rFonts w:ascii="Nirmala UI" w:hAnsi="Nirmala UI" w:cs="Nirmala UI"/>
          <w:color w:val="000000" w:themeColor="text1"/>
        </w:rPr>
        <w:t xml:space="preserve"> será equivalente al 10% del importe total del plan.</w:t>
      </w:r>
    </w:p>
    <w:p w14:paraId="34CE9141" w14:textId="77777777" w:rsidR="00257217" w:rsidRPr="00252058" w:rsidRDefault="00257217" w:rsidP="00257217">
      <w:pPr>
        <w:pStyle w:val="Prrafodelista"/>
        <w:autoSpaceDE w:val="0"/>
        <w:autoSpaceDN w:val="0"/>
        <w:adjustRightInd w:val="0"/>
        <w:spacing w:after="0" w:line="240" w:lineRule="auto"/>
        <w:ind w:left="360"/>
        <w:jc w:val="both"/>
        <w:rPr>
          <w:rFonts w:ascii="Nirmala UI" w:hAnsi="Nirmala UI" w:cs="Nirmala UI"/>
          <w:color w:val="000000" w:themeColor="text1"/>
        </w:rPr>
      </w:pPr>
    </w:p>
    <w:p w14:paraId="62A8A3D1" w14:textId="2B881E12" w:rsidR="006A61D6" w:rsidRPr="00A37C4D" w:rsidRDefault="00A37C4D" w:rsidP="00FB06CB">
      <w:pPr>
        <w:pStyle w:val="Pa6"/>
        <w:numPr>
          <w:ilvl w:val="0"/>
          <w:numId w:val="13"/>
        </w:numPr>
        <w:spacing w:line="240" w:lineRule="auto"/>
        <w:jc w:val="both"/>
        <w:rPr>
          <w:rFonts w:ascii="Nirmala UI" w:hAnsi="Nirmala UI" w:cs="Nirmala UI"/>
        </w:rPr>
      </w:pPr>
      <w:r w:rsidRPr="00A37C4D">
        <w:rPr>
          <w:rFonts w:ascii="Nirmala UI" w:hAnsi="Nirmala UI" w:cs="Nirmala UI"/>
          <w:color w:val="000000"/>
          <w:sz w:val="22"/>
          <w:szCs w:val="22"/>
        </w:rPr>
        <w:t xml:space="preserve">Con el último pago de la </w:t>
      </w:r>
      <w:r w:rsidRPr="002274B8">
        <w:rPr>
          <w:rFonts w:ascii="Nirmala UI" w:hAnsi="Nirmala UI" w:cs="Nirmala UI"/>
          <w:sz w:val="22"/>
          <w:szCs w:val="22"/>
        </w:rPr>
        <w:t>aportación de</w:t>
      </w:r>
      <w:r w:rsidR="00D307DF" w:rsidRPr="002274B8">
        <w:rPr>
          <w:rFonts w:ascii="Nirmala UI" w:hAnsi="Nirmala UI" w:cs="Nirmala UI"/>
          <w:sz w:val="22"/>
          <w:szCs w:val="22"/>
        </w:rPr>
        <w:t>l</w:t>
      </w:r>
      <w:r w:rsidRPr="002274B8">
        <w:rPr>
          <w:rFonts w:ascii="Nirmala UI" w:hAnsi="Nirmala UI" w:cs="Nirmala UI"/>
          <w:sz w:val="22"/>
          <w:szCs w:val="22"/>
        </w:rPr>
        <w:t xml:space="preserve"> </w:t>
      </w:r>
      <w:r w:rsidR="00D307DF" w:rsidRPr="002274B8">
        <w:rPr>
          <w:rFonts w:ascii="Nirmala UI" w:hAnsi="Nirmala UI" w:cs="Nirmala UI"/>
          <w:sz w:val="22"/>
          <w:szCs w:val="22"/>
        </w:rPr>
        <w:t>Cabildo de Gran Canaria</w:t>
      </w:r>
      <w:r w:rsidRPr="002274B8">
        <w:rPr>
          <w:rFonts w:ascii="Nirmala UI" w:hAnsi="Nirmala UI" w:cs="Nirmala UI"/>
          <w:sz w:val="22"/>
          <w:szCs w:val="22"/>
        </w:rPr>
        <w:t xml:space="preserve"> se remitirá a las otras Administraciones participantes del convenio la declaración de las ayudas solicitadas, concedidas y pendientes de resolución</w:t>
      </w:r>
      <w:r w:rsidRPr="00A37C4D">
        <w:rPr>
          <w:rFonts w:ascii="Nirmala UI" w:hAnsi="Nirmala UI" w:cs="Nirmala UI"/>
          <w:color w:val="000000"/>
          <w:sz w:val="22"/>
          <w:szCs w:val="22"/>
        </w:rPr>
        <w:t>, para la actividad objeto de este convenio, por parte de las distintas Administraciones Públicas competentes o cualquiera de sus organismos, entes o sociedades.</w:t>
      </w:r>
    </w:p>
    <w:p w14:paraId="67E8B694" w14:textId="77777777" w:rsidR="00674B93" w:rsidRPr="00365BDF" w:rsidRDefault="00674B93" w:rsidP="00CD2AA8">
      <w:pPr>
        <w:autoSpaceDE w:val="0"/>
        <w:autoSpaceDN w:val="0"/>
        <w:adjustRightInd w:val="0"/>
        <w:spacing w:after="0" w:line="240" w:lineRule="auto"/>
        <w:jc w:val="both"/>
        <w:rPr>
          <w:rFonts w:ascii="Nirmala UI" w:hAnsi="Nirmala UI" w:cs="Nirmala UI"/>
          <w:color w:val="000000"/>
        </w:rPr>
      </w:pPr>
    </w:p>
    <w:p w14:paraId="65B1333D" w14:textId="77777777" w:rsidR="00674B93" w:rsidRPr="00365BDF" w:rsidRDefault="00674B93" w:rsidP="00CD2AA8">
      <w:pPr>
        <w:autoSpaceDE w:val="0"/>
        <w:autoSpaceDN w:val="0"/>
        <w:adjustRightInd w:val="0"/>
        <w:spacing w:after="0" w:line="240" w:lineRule="auto"/>
        <w:jc w:val="both"/>
        <w:rPr>
          <w:rFonts w:ascii="Nirmala UI" w:hAnsi="Nirmala UI" w:cs="Nirmala UI"/>
          <w:b/>
          <w:i/>
          <w:iCs/>
        </w:rPr>
      </w:pPr>
      <w:r w:rsidRPr="00365BDF">
        <w:rPr>
          <w:rFonts w:ascii="Nirmala UI" w:hAnsi="Nirmala UI" w:cs="Nirmala UI"/>
          <w:b/>
        </w:rPr>
        <w:t xml:space="preserve">Séptima. </w:t>
      </w:r>
      <w:r w:rsidRPr="00365BDF">
        <w:rPr>
          <w:rFonts w:ascii="Nirmala UI" w:hAnsi="Nirmala UI" w:cs="Nirmala UI"/>
          <w:b/>
          <w:i/>
          <w:iCs/>
        </w:rPr>
        <w:t>Cuenta bancaria de carácter restringido</w:t>
      </w:r>
    </w:p>
    <w:p w14:paraId="5A07A571" w14:textId="6FB165EF" w:rsidR="00674B93" w:rsidRPr="002274B8" w:rsidRDefault="00D307DF" w:rsidP="006A61D6">
      <w:pPr>
        <w:pStyle w:val="Prrafodelista"/>
        <w:numPr>
          <w:ilvl w:val="0"/>
          <w:numId w:val="14"/>
        </w:numPr>
        <w:autoSpaceDE w:val="0"/>
        <w:autoSpaceDN w:val="0"/>
        <w:adjustRightInd w:val="0"/>
        <w:spacing w:after="0" w:line="240" w:lineRule="auto"/>
        <w:jc w:val="both"/>
        <w:rPr>
          <w:rFonts w:ascii="Nirmala UI" w:hAnsi="Nirmala UI" w:cs="Nirmala UI"/>
        </w:rPr>
      </w:pPr>
      <w:r w:rsidRPr="002274B8">
        <w:rPr>
          <w:rFonts w:ascii="Nirmala UI" w:hAnsi="Nirmala UI" w:cs="Nirmala UI"/>
        </w:rPr>
        <w:t>El Cabildo de Gran Canaria</w:t>
      </w:r>
      <w:r w:rsidR="00674B93" w:rsidRPr="002274B8">
        <w:rPr>
          <w:rFonts w:ascii="Nirmala UI" w:hAnsi="Nirmala UI" w:cs="Nirmala UI"/>
        </w:rPr>
        <w:t xml:space="preserve"> procederá a la apertura de una cuenta bancaria de carácter restringido, en la que se ingresarán y cargarán exclusivamente las aportaciones de las partes y cualesquiera otros ingresos y pagos correspondientes a las actuaciones que deriven de la ejecución del convenio.</w:t>
      </w:r>
    </w:p>
    <w:p w14:paraId="7262CAAC" w14:textId="7B009FB9" w:rsidR="00674B93" w:rsidRPr="00365BDF" w:rsidRDefault="00D307DF" w:rsidP="006A61D6">
      <w:pPr>
        <w:autoSpaceDE w:val="0"/>
        <w:autoSpaceDN w:val="0"/>
        <w:adjustRightInd w:val="0"/>
        <w:spacing w:after="0" w:line="240" w:lineRule="auto"/>
        <w:ind w:left="360"/>
        <w:jc w:val="both"/>
        <w:rPr>
          <w:rFonts w:ascii="Nirmala UI" w:hAnsi="Nirmala UI" w:cs="Nirmala UI"/>
          <w:color w:val="000000"/>
        </w:rPr>
      </w:pPr>
      <w:r w:rsidRPr="002274B8">
        <w:rPr>
          <w:rFonts w:ascii="Nirmala UI" w:hAnsi="Nirmala UI" w:cs="Nirmala UI"/>
        </w:rPr>
        <w:t>El Cabildo de Gran Canaria</w:t>
      </w:r>
      <w:r w:rsidR="00674B93" w:rsidRPr="002274B8">
        <w:rPr>
          <w:rFonts w:ascii="Nirmala UI" w:hAnsi="Nirmala UI" w:cs="Nirmala UI"/>
        </w:rPr>
        <w:t xml:space="preserve"> comunicará </w:t>
      </w:r>
      <w:r w:rsidR="00674B93" w:rsidRPr="00365BDF">
        <w:rPr>
          <w:rFonts w:ascii="Nirmala UI" w:hAnsi="Nirmala UI" w:cs="Nirmala UI"/>
          <w:color w:val="000000"/>
        </w:rPr>
        <w:t xml:space="preserve">regularmente, y siempre que lo pida cualquiera de las partes, el saldo y movimientos de dicha cuenta. </w:t>
      </w:r>
    </w:p>
    <w:p w14:paraId="129627CB" w14:textId="77777777" w:rsidR="00BB77C8" w:rsidRPr="00365BDF" w:rsidRDefault="00BB77C8" w:rsidP="006A61D6">
      <w:pPr>
        <w:autoSpaceDE w:val="0"/>
        <w:autoSpaceDN w:val="0"/>
        <w:adjustRightInd w:val="0"/>
        <w:spacing w:after="0" w:line="240" w:lineRule="auto"/>
        <w:ind w:left="360"/>
        <w:jc w:val="both"/>
        <w:rPr>
          <w:rFonts w:ascii="Nirmala UI" w:hAnsi="Nirmala UI" w:cs="Nirmala UI"/>
          <w:color w:val="000000"/>
        </w:rPr>
      </w:pPr>
    </w:p>
    <w:p w14:paraId="53061488" w14:textId="53FB879F" w:rsidR="00674B93" w:rsidRPr="00365BDF" w:rsidRDefault="00674B93" w:rsidP="00BB77C8">
      <w:pPr>
        <w:autoSpaceDE w:val="0"/>
        <w:autoSpaceDN w:val="0"/>
        <w:adjustRightInd w:val="0"/>
        <w:spacing w:after="0" w:line="240" w:lineRule="auto"/>
        <w:ind w:left="360"/>
        <w:jc w:val="both"/>
        <w:rPr>
          <w:rFonts w:ascii="Nirmala UI" w:hAnsi="Nirmala UI" w:cs="Nirmala UI"/>
          <w:color w:val="000000"/>
        </w:rPr>
      </w:pPr>
      <w:r w:rsidRPr="00365BDF">
        <w:rPr>
          <w:rFonts w:ascii="Nirmala UI" w:hAnsi="Nirmala UI" w:cs="Nirmala UI"/>
          <w:color w:val="000000"/>
        </w:rPr>
        <w:t>En cada</w:t>
      </w:r>
      <w:r w:rsidR="00E379E1">
        <w:rPr>
          <w:rFonts w:ascii="Nirmala UI" w:hAnsi="Nirmala UI" w:cs="Nirmala UI"/>
          <w:color w:val="000000"/>
        </w:rPr>
        <w:t xml:space="preserve"> reunión de la C</w:t>
      </w:r>
      <w:r w:rsidRPr="00365BDF">
        <w:rPr>
          <w:rFonts w:ascii="Nirmala UI" w:hAnsi="Nirmala UI" w:cs="Nirmala UI"/>
          <w:color w:val="000000"/>
        </w:rPr>
        <w:t>omisión de seguimiento se presentará el estado de los movimientos de la cuenta restringida desde la última comisión</w:t>
      </w:r>
      <w:r w:rsidR="001B6FDB" w:rsidRPr="00365BDF">
        <w:rPr>
          <w:rFonts w:ascii="Nirmala UI" w:hAnsi="Nirmala UI" w:cs="Nirmala UI"/>
          <w:color w:val="000000"/>
        </w:rPr>
        <w:t>.</w:t>
      </w:r>
    </w:p>
    <w:p w14:paraId="720C9A36" w14:textId="13B62E18" w:rsidR="001757D3" w:rsidRPr="00365BDF" w:rsidRDefault="001757D3" w:rsidP="00BB77C8">
      <w:pPr>
        <w:autoSpaceDE w:val="0"/>
        <w:autoSpaceDN w:val="0"/>
        <w:adjustRightInd w:val="0"/>
        <w:spacing w:after="0" w:line="240" w:lineRule="auto"/>
        <w:ind w:left="360"/>
        <w:jc w:val="both"/>
        <w:rPr>
          <w:rFonts w:ascii="Nirmala UI" w:hAnsi="Nirmala UI" w:cs="Nirmala UI"/>
          <w:color w:val="000000"/>
        </w:rPr>
      </w:pPr>
    </w:p>
    <w:p w14:paraId="47FCEAC1" w14:textId="7A60D28E" w:rsidR="001757D3" w:rsidRPr="00365BDF" w:rsidRDefault="001757D3" w:rsidP="00BB77C8">
      <w:pPr>
        <w:autoSpaceDE w:val="0"/>
        <w:autoSpaceDN w:val="0"/>
        <w:adjustRightInd w:val="0"/>
        <w:spacing w:after="0" w:line="240" w:lineRule="auto"/>
        <w:ind w:left="360"/>
        <w:jc w:val="both"/>
        <w:rPr>
          <w:rFonts w:ascii="Nirmala UI" w:hAnsi="Nirmala UI" w:cs="Nirmala UI"/>
          <w:color w:val="000000"/>
        </w:rPr>
      </w:pPr>
      <w:r w:rsidRPr="00365BDF">
        <w:rPr>
          <w:rFonts w:ascii="Nirmala UI" w:hAnsi="Nirmala UI" w:cs="Nirmala UI"/>
          <w:color w:val="000000"/>
        </w:rPr>
        <w:t xml:space="preserve">Los intereses generados en la cuenta bancaria serán aplicados a actuaciones del mismo tipo que las definidas en este convenio, previa aprobación por la comisión de seguimiento y habrán de ejecutarse y justificarse en la última anualidad. </w:t>
      </w:r>
    </w:p>
    <w:p w14:paraId="2B4E7C8D" w14:textId="77777777" w:rsidR="001B6FDB" w:rsidRPr="00365BDF" w:rsidRDefault="001B6FDB" w:rsidP="00CD2AA8">
      <w:pPr>
        <w:autoSpaceDE w:val="0"/>
        <w:autoSpaceDN w:val="0"/>
        <w:adjustRightInd w:val="0"/>
        <w:spacing w:after="0" w:line="240" w:lineRule="auto"/>
        <w:jc w:val="both"/>
        <w:rPr>
          <w:rFonts w:ascii="Nirmala UI" w:hAnsi="Nirmala UI" w:cs="Nirmala UI"/>
          <w:color w:val="000000"/>
        </w:rPr>
      </w:pPr>
    </w:p>
    <w:p w14:paraId="202E2865" w14:textId="77777777" w:rsidR="00BB77C8" w:rsidRPr="00365BDF" w:rsidRDefault="001B6FDB" w:rsidP="00BB77C8">
      <w:pPr>
        <w:autoSpaceDE w:val="0"/>
        <w:autoSpaceDN w:val="0"/>
        <w:adjustRightInd w:val="0"/>
        <w:spacing w:after="0" w:line="240" w:lineRule="auto"/>
        <w:jc w:val="both"/>
        <w:rPr>
          <w:rFonts w:ascii="Nirmala UI" w:hAnsi="Nirmala UI" w:cs="Nirmala UI"/>
          <w:b/>
          <w:i/>
          <w:iCs/>
        </w:rPr>
      </w:pPr>
      <w:r w:rsidRPr="00365BDF">
        <w:rPr>
          <w:rFonts w:ascii="Nirmala UI" w:hAnsi="Nirmala UI" w:cs="Nirmala UI"/>
          <w:b/>
        </w:rPr>
        <w:t xml:space="preserve">Octava. </w:t>
      </w:r>
      <w:r w:rsidRPr="00365BDF">
        <w:rPr>
          <w:rFonts w:ascii="Nirmala UI" w:hAnsi="Nirmala UI" w:cs="Nirmala UI"/>
          <w:b/>
          <w:i/>
          <w:iCs/>
        </w:rPr>
        <w:t>Comisión de seguimiento</w:t>
      </w:r>
    </w:p>
    <w:p w14:paraId="73821446" w14:textId="0FBB3DD9" w:rsidR="001B6FDB" w:rsidRPr="00365BDF" w:rsidRDefault="00BB77C8" w:rsidP="00365BDF">
      <w:pPr>
        <w:autoSpaceDE w:val="0"/>
        <w:autoSpaceDN w:val="0"/>
        <w:adjustRightInd w:val="0"/>
        <w:spacing w:after="0" w:line="240" w:lineRule="auto"/>
        <w:jc w:val="both"/>
        <w:rPr>
          <w:rFonts w:ascii="Nirmala UI" w:hAnsi="Nirmala UI" w:cs="Nirmala UI"/>
          <w:b/>
          <w:i/>
          <w:iCs/>
        </w:rPr>
      </w:pPr>
      <w:r w:rsidRPr="00365BDF">
        <w:rPr>
          <w:rFonts w:ascii="Nirmala UI" w:hAnsi="Nirmala UI" w:cs="Nirmala UI"/>
          <w:color w:val="000000"/>
        </w:rPr>
        <w:t xml:space="preserve">1. </w:t>
      </w:r>
      <w:r w:rsidR="001B6FDB" w:rsidRPr="00365BDF">
        <w:rPr>
          <w:rFonts w:ascii="Nirmala UI" w:hAnsi="Nirmala UI" w:cs="Nirmala UI"/>
          <w:color w:val="000000"/>
        </w:rPr>
        <w:t>Se crea una Comisión de Seguimiento del Plan de Sostenibilidad, sin personalidad jurídica, formada por los siguientes representantes de las partes firmantes:</w:t>
      </w:r>
    </w:p>
    <w:p w14:paraId="6050A89B" w14:textId="4D6B14B7" w:rsidR="001B6FDB" w:rsidRPr="00365BDF" w:rsidRDefault="001B6FDB" w:rsidP="00E83730">
      <w:pPr>
        <w:pStyle w:val="Pa7"/>
        <w:spacing w:before="160" w:line="276" w:lineRule="auto"/>
        <w:ind w:left="680"/>
        <w:jc w:val="both"/>
        <w:rPr>
          <w:rFonts w:ascii="Nirmala UI" w:hAnsi="Nirmala UI" w:cs="Nirmala UI"/>
          <w:color w:val="000000"/>
          <w:sz w:val="22"/>
          <w:szCs w:val="22"/>
        </w:rPr>
      </w:pPr>
      <w:r w:rsidRPr="00365BDF">
        <w:rPr>
          <w:rFonts w:ascii="Nirmala UI" w:hAnsi="Nirmala UI" w:cs="Nirmala UI"/>
          <w:color w:val="000000"/>
          <w:sz w:val="22"/>
          <w:szCs w:val="22"/>
        </w:rPr>
        <w:t xml:space="preserve">a) Un representante designado por la Secretaría de Estado de Turismo </w:t>
      </w:r>
      <w:r w:rsidR="00B26015" w:rsidRPr="00365BDF">
        <w:rPr>
          <w:rFonts w:ascii="Nirmala UI" w:hAnsi="Nirmala UI" w:cs="Nirmala UI"/>
          <w:color w:val="000000"/>
          <w:sz w:val="22"/>
          <w:szCs w:val="22"/>
        </w:rPr>
        <w:t xml:space="preserve">o </w:t>
      </w:r>
      <w:r w:rsidRPr="00365BDF">
        <w:rPr>
          <w:rFonts w:ascii="Nirmala UI" w:hAnsi="Nirmala UI" w:cs="Nirmala UI"/>
          <w:color w:val="000000"/>
          <w:sz w:val="22"/>
          <w:szCs w:val="22"/>
        </w:rPr>
        <w:t xml:space="preserve">un representante de la Delegación </w:t>
      </w:r>
      <w:r w:rsidR="00B26015" w:rsidRPr="00365BDF">
        <w:rPr>
          <w:rFonts w:ascii="Nirmala UI" w:hAnsi="Nirmala UI" w:cs="Nirmala UI"/>
          <w:color w:val="000000"/>
          <w:sz w:val="22"/>
          <w:szCs w:val="22"/>
        </w:rPr>
        <w:t xml:space="preserve">o subdelegación </w:t>
      </w:r>
      <w:r w:rsidRPr="00365BDF">
        <w:rPr>
          <w:rFonts w:ascii="Nirmala UI" w:hAnsi="Nirmala UI" w:cs="Nirmala UI"/>
          <w:color w:val="000000"/>
          <w:sz w:val="22"/>
          <w:szCs w:val="22"/>
        </w:rPr>
        <w:t>del Gobierno en la Comunidad Autónoma firmante de este convenio</w:t>
      </w:r>
      <w:r w:rsidR="00B26015" w:rsidRPr="00365BDF">
        <w:rPr>
          <w:rFonts w:ascii="Nirmala UI" w:hAnsi="Nirmala UI" w:cs="Nirmala UI"/>
          <w:color w:val="000000"/>
          <w:sz w:val="22"/>
          <w:szCs w:val="22"/>
        </w:rPr>
        <w:t xml:space="preserve"> en calidad de suplente</w:t>
      </w:r>
      <w:r w:rsidRPr="00365BDF">
        <w:rPr>
          <w:rFonts w:ascii="Nirmala UI" w:hAnsi="Nirmala UI" w:cs="Nirmala UI"/>
          <w:color w:val="000000"/>
          <w:sz w:val="22"/>
          <w:szCs w:val="22"/>
        </w:rPr>
        <w:t>.</w:t>
      </w:r>
    </w:p>
    <w:p w14:paraId="52359A14" w14:textId="77777777" w:rsidR="00961C41" w:rsidRPr="00365BDF" w:rsidRDefault="00B26015" w:rsidP="00E83730">
      <w:pPr>
        <w:pStyle w:val="Pa6"/>
        <w:spacing w:line="276" w:lineRule="auto"/>
        <w:ind w:left="340" w:firstLine="340"/>
        <w:jc w:val="both"/>
        <w:rPr>
          <w:rFonts w:ascii="Nirmala UI" w:hAnsi="Nirmala UI" w:cs="Nirmala UI"/>
          <w:color w:val="000000"/>
          <w:sz w:val="22"/>
          <w:szCs w:val="22"/>
        </w:rPr>
      </w:pPr>
      <w:r w:rsidRPr="00365BDF">
        <w:rPr>
          <w:rFonts w:ascii="Nirmala UI" w:hAnsi="Nirmala UI" w:cs="Nirmala UI"/>
          <w:color w:val="000000"/>
          <w:sz w:val="22"/>
          <w:szCs w:val="22"/>
        </w:rPr>
        <w:t>b) Un</w:t>
      </w:r>
      <w:r w:rsidR="001B6FDB" w:rsidRPr="00365BDF">
        <w:rPr>
          <w:rFonts w:ascii="Nirmala UI" w:hAnsi="Nirmala UI" w:cs="Nirmala UI"/>
          <w:color w:val="000000"/>
          <w:sz w:val="22"/>
          <w:szCs w:val="22"/>
        </w:rPr>
        <w:t xml:space="preserve"> representante</w:t>
      </w:r>
      <w:r w:rsidRPr="00365BDF">
        <w:rPr>
          <w:rFonts w:ascii="Nirmala UI" w:hAnsi="Nirmala UI" w:cs="Nirmala UI"/>
          <w:color w:val="000000"/>
          <w:sz w:val="22"/>
          <w:szCs w:val="22"/>
        </w:rPr>
        <w:t xml:space="preserve"> designado</w:t>
      </w:r>
      <w:r w:rsidR="00961C41" w:rsidRPr="00365BDF">
        <w:rPr>
          <w:rFonts w:ascii="Nirmala UI" w:hAnsi="Nirmala UI" w:cs="Nirmala UI"/>
          <w:color w:val="000000"/>
          <w:sz w:val="22"/>
          <w:szCs w:val="22"/>
        </w:rPr>
        <w:t xml:space="preserve"> por la Comunidad Autónoma.</w:t>
      </w:r>
    </w:p>
    <w:p w14:paraId="7E38C594" w14:textId="6BF69E1A" w:rsidR="005919FE" w:rsidRPr="00365BDF" w:rsidRDefault="00ED61E8" w:rsidP="00E83730">
      <w:pPr>
        <w:pStyle w:val="Pa6"/>
        <w:spacing w:line="276" w:lineRule="auto"/>
        <w:ind w:left="680"/>
        <w:jc w:val="both"/>
        <w:rPr>
          <w:rFonts w:ascii="Nirmala UI" w:hAnsi="Nirmala UI" w:cs="Nirmala UI"/>
          <w:color w:val="000000"/>
          <w:sz w:val="22"/>
          <w:szCs w:val="22"/>
        </w:rPr>
      </w:pPr>
      <w:r w:rsidRPr="00365BDF">
        <w:rPr>
          <w:rFonts w:ascii="Nirmala UI" w:hAnsi="Nirmala UI" w:cs="Nirmala UI"/>
          <w:color w:val="000000"/>
          <w:sz w:val="22"/>
          <w:szCs w:val="22"/>
        </w:rPr>
        <w:t>c)</w:t>
      </w:r>
      <w:r w:rsidR="00237CB4" w:rsidRPr="00365BDF">
        <w:rPr>
          <w:rFonts w:ascii="Nirmala UI" w:hAnsi="Nirmala UI" w:cs="Nirmala UI"/>
          <w:color w:val="000000"/>
          <w:sz w:val="22"/>
          <w:szCs w:val="22"/>
        </w:rPr>
        <w:t xml:space="preserve"> </w:t>
      </w:r>
      <w:r w:rsidR="00B26015" w:rsidRPr="00365BDF">
        <w:rPr>
          <w:rFonts w:ascii="Nirmala UI" w:hAnsi="Nirmala UI" w:cs="Nirmala UI"/>
          <w:color w:val="000000"/>
          <w:sz w:val="22"/>
          <w:szCs w:val="22"/>
        </w:rPr>
        <w:t>Un</w:t>
      </w:r>
      <w:r w:rsidR="001B6FDB" w:rsidRPr="00365BDF">
        <w:rPr>
          <w:rFonts w:ascii="Nirmala UI" w:hAnsi="Nirmala UI" w:cs="Nirmala UI"/>
          <w:color w:val="000000"/>
          <w:sz w:val="22"/>
          <w:szCs w:val="22"/>
        </w:rPr>
        <w:t xml:space="preserve"> representant</w:t>
      </w:r>
      <w:r w:rsidR="00A2516D" w:rsidRPr="00365BDF">
        <w:rPr>
          <w:rFonts w:ascii="Nirmala UI" w:hAnsi="Nirmala UI" w:cs="Nirmala UI"/>
          <w:color w:val="000000"/>
          <w:sz w:val="22"/>
          <w:szCs w:val="22"/>
        </w:rPr>
        <w:t>e</w:t>
      </w:r>
      <w:r w:rsidR="00B26015" w:rsidRPr="00365BDF">
        <w:rPr>
          <w:rFonts w:ascii="Nirmala UI" w:hAnsi="Nirmala UI" w:cs="Nirmala UI"/>
          <w:color w:val="000000"/>
          <w:sz w:val="22"/>
          <w:szCs w:val="22"/>
        </w:rPr>
        <w:t xml:space="preserve"> </w:t>
      </w:r>
      <w:r w:rsidR="00B26015" w:rsidRPr="002274B8">
        <w:rPr>
          <w:rFonts w:ascii="Nirmala UI" w:hAnsi="Nirmala UI" w:cs="Nirmala UI"/>
          <w:sz w:val="22"/>
          <w:szCs w:val="22"/>
        </w:rPr>
        <w:t>designado</w:t>
      </w:r>
      <w:r w:rsidR="00A2516D" w:rsidRPr="002274B8">
        <w:rPr>
          <w:rFonts w:ascii="Nirmala UI" w:hAnsi="Nirmala UI" w:cs="Nirmala UI"/>
          <w:sz w:val="22"/>
          <w:szCs w:val="22"/>
        </w:rPr>
        <w:t xml:space="preserve"> por</w:t>
      </w:r>
      <w:r w:rsidR="00D307DF" w:rsidRPr="002274B8">
        <w:rPr>
          <w:rFonts w:ascii="Nirmala UI" w:hAnsi="Nirmala UI" w:cs="Nirmala UI"/>
          <w:sz w:val="22"/>
          <w:szCs w:val="22"/>
        </w:rPr>
        <w:t xml:space="preserve"> el Cabildo de Gran Canaria</w:t>
      </w:r>
      <w:r w:rsidR="001B6FDB" w:rsidRPr="00365BDF">
        <w:rPr>
          <w:rFonts w:ascii="Nirmala UI" w:hAnsi="Nirmala UI" w:cs="Nirmala UI"/>
          <w:color w:val="000000"/>
          <w:sz w:val="22"/>
          <w:szCs w:val="22"/>
        </w:rPr>
        <w:t xml:space="preserve">, </w:t>
      </w:r>
      <w:r w:rsidR="00B26015" w:rsidRPr="00365BDF">
        <w:rPr>
          <w:rFonts w:ascii="Nirmala UI" w:hAnsi="Nirmala UI" w:cs="Nirmala UI"/>
          <w:color w:val="000000"/>
          <w:sz w:val="22"/>
          <w:szCs w:val="22"/>
        </w:rPr>
        <w:t>que</w:t>
      </w:r>
      <w:r w:rsidR="001B6FDB" w:rsidRPr="00365BDF">
        <w:rPr>
          <w:rFonts w:ascii="Nirmala UI" w:hAnsi="Nirmala UI" w:cs="Nirmala UI"/>
          <w:color w:val="000000"/>
          <w:sz w:val="22"/>
          <w:szCs w:val="22"/>
        </w:rPr>
        <w:t xml:space="preserve"> actuará como Presidente de la Comisión.</w:t>
      </w:r>
    </w:p>
    <w:p w14:paraId="25A3BC9A" w14:textId="68AE4418" w:rsidR="001B6FDB" w:rsidRPr="002274B8" w:rsidRDefault="001B6FDB" w:rsidP="001B6FDB">
      <w:pPr>
        <w:pStyle w:val="Pa7"/>
        <w:spacing w:before="160"/>
        <w:jc w:val="both"/>
        <w:rPr>
          <w:rFonts w:ascii="Nirmala UI" w:hAnsi="Nirmala UI" w:cs="Nirmala UI"/>
          <w:sz w:val="22"/>
          <w:szCs w:val="22"/>
        </w:rPr>
      </w:pPr>
      <w:r w:rsidRPr="00365BDF">
        <w:rPr>
          <w:rFonts w:ascii="Nirmala UI" w:hAnsi="Nirmala UI" w:cs="Nirmala UI"/>
          <w:color w:val="000000"/>
          <w:sz w:val="22"/>
          <w:szCs w:val="22"/>
        </w:rPr>
        <w:t xml:space="preserve">La Comisión de Seguimiento se reunirá a iniciativa de su Presidente, cuando alguno de sus miembros lo solicite </w:t>
      </w:r>
      <w:r w:rsidRPr="004D614C">
        <w:rPr>
          <w:rFonts w:ascii="Nirmala UI" w:hAnsi="Nirmala UI" w:cs="Nirmala UI"/>
          <w:color w:val="000000"/>
          <w:sz w:val="22"/>
          <w:szCs w:val="22"/>
        </w:rPr>
        <w:t>y, en todo caso, semestralmente</w:t>
      </w:r>
      <w:r w:rsidRPr="004F554E">
        <w:rPr>
          <w:rFonts w:ascii="Nirmala UI" w:hAnsi="Nirmala UI" w:cs="Nirmala UI"/>
          <w:sz w:val="22"/>
          <w:szCs w:val="22"/>
        </w:rPr>
        <w:t>.</w:t>
      </w:r>
      <w:r w:rsidR="004D614C" w:rsidRPr="004F554E">
        <w:rPr>
          <w:rFonts w:ascii="Nirmala UI" w:hAnsi="Nirmala UI" w:cs="Nirmala UI"/>
          <w:sz w:val="22"/>
          <w:szCs w:val="22"/>
        </w:rPr>
        <w:t xml:space="preserve"> El gerente del Plan actuará como Secretario de la Comisión, con voz, pero sin voto. En caso de vacante, el Secretario de</w:t>
      </w:r>
      <w:r w:rsidR="00D307DF">
        <w:rPr>
          <w:rFonts w:ascii="Nirmala UI" w:hAnsi="Nirmala UI" w:cs="Nirmala UI"/>
          <w:sz w:val="22"/>
          <w:szCs w:val="22"/>
        </w:rPr>
        <w:t xml:space="preserve">l </w:t>
      </w:r>
      <w:r w:rsidR="00D307DF" w:rsidRPr="002274B8">
        <w:rPr>
          <w:rFonts w:ascii="Nirmala UI" w:hAnsi="Nirmala UI" w:cs="Nirmala UI"/>
          <w:sz w:val="22"/>
          <w:szCs w:val="22"/>
        </w:rPr>
        <w:t>Cabildo de Gran Canaria</w:t>
      </w:r>
      <w:r w:rsidR="004D614C" w:rsidRPr="002274B8">
        <w:rPr>
          <w:rFonts w:ascii="Nirmala UI" w:hAnsi="Nirmala UI" w:cs="Nirmala UI"/>
          <w:sz w:val="22"/>
          <w:szCs w:val="22"/>
        </w:rPr>
        <w:t xml:space="preserve"> asumirá dicho cometido.</w:t>
      </w:r>
    </w:p>
    <w:p w14:paraId="34B19C64" w14:textId="77777777" w:rsidR="00252058" w:rsidRPr="002274B8" w:rsidRDefault="00252058" w:rsidP="00252058">
      <w:pPr>
        <w:pStyle w:val="Default"/>
        <w:rPr>
          <w:color w:val="auto"/>
        </w:rPr>
      </w:pPr>
    </w:p>
    <w:p w14:paraId="15872063" w14:textId="42F0CD43" w:rsidR="001B6FDB" w:rsidRPr="002274B8" w:rsidRDefault="001B6FDB" w:rsidP="001B6FDB">
      <w:pPr>
        <w:autoSpaceDE w:val="0"/>
        <w:autoSpaceDN w:val="0"/>
        <w:adjustRightInd w:val="0"/>
        <w:spacing w:after="0" w:line="240" w:lineRule="auto"/>
        <w:jc w:val="both"/>
        <w:rPr>
          <w:rFonts w:ascii="Nirmala UI" w:hAnsi="Nirmala UI" w:cs="Nirmala UI"/>
        </w:rPr>
      </w:pPr>
      <w:r w:rsidRPr="002274B8">
        <w:rPr>
          <w:rFonts w:ascii="Nirmala UI" w:hAnsi="Nirmala UI" w:cs="Nirmala UI"/>
        </w:rPr>
        <w:t>Se entenderá válidamente constituida la Comisión cuando estén representadas la Administración General del Estado, la Administración Autonómica y</w:t>
      </w:r>
      <w:r w:rsidR="00D307DF" w:rsidRPr="002274B8">
        <w:rPr>
          <w:rFonts w:ascii="Nirmala UI" w:hAnsi="Nirmala UI" w:cs="Nirmala UI"/>
        </w:rPr>
        <w:t xml:space="preserve"> el</w:t>
      </w:r>
      <w:r w:rsidRPr="002274B8">
        <w:rPr>
          <w:rFonts w:ascii="Nirmala UI" w:hAnsi="Nirmala UI" w:cs="Nirmala UI"/>
        </w:rPr>
        <w:t xml:space="preserve"> </w:t>
      </w:r>
      <w:r w:rsidR="00D307DF" w:rsidRPr="002274B8">
        <w:rPr>
          <w:rFonts w:ascii="Nirmala UI" w:hAnsi="Nirmala UI" w:cs="Nirmala UI"/>
        </w:rPr>
        <w:t>Cabildo de Gran Canaria.</w:t>
      </w:r>
    </w:p>
    <w:p w14:paraId="41B073E7" w14:textId="77777777" w:rsidR="00252058" w:rsidRPr="002274B8" w:rsidRDefault="00252058" w:rsidP="001B6FDB">
      <w:pPr>
        <w:autoSpaceDE w:val="0"/>
        <w:autoSpaceDN w:val="0"/>
        <w:adjustRightInd w:val="0"/>
        <w:spacing w:after="0" w:line="240" w:lineRule="auto"/>
        <w:jc w:val="both"/>
        <w:rPr>
          <w:rFonts w:ascii="Nirmala UI" w:hAnsi="Nirmala UI" w:cs="Nirmala UI"/>
        </w:rPr>
      </w:pPr>
    </w:p>
    <w:p w14:paraId="7BF23188" w14:textId="43CDB965" w:rsidR="001B6FDB" w:rsidRPr="004F554E" w:rsidRDefault="001B6FDB" w:rsidP="001B6FDB">
      <w:pPr>
        <w:pStyle w:val="Pa6"/>
        <w:jc w:val="both"/>
        <w:rPr>
          <w:rFonts w:ascii="Nirmala UI" w:hAnsi="Nirmala UI" w:cs="Nirmala UI"/>
          <w:sz w:val="22"/>
          <w:szCs w:val="22"/>
        </w:rPr>
      </w:pPr>
      <w:r w:rsidRPr="005D6E4A">
        <w:rPr>
          <w:rFonts w:ascii="Nirmala UI" w:hAnsi="Nirmala UI" w:cs="Nirmala UI"/>
          <w:sz w:val="22"/>
          <w:szCs w:val="22"/>
        </w:rPr>
        <w:t>La Comisión de Seguimiento podrá invitar a asistir a sus r</w:t>
      </w:r>
      <w:r w:rsidRPr="008F4487">
        <w:rPr>
          <w:rFonts w:ascii="Nirmala UI" w:hAnsi="Nirmala UI" w:cs="Nirmala UI"/>
          <w:sz w:val="22"/>
          <w:szCs w:val="22"/>
        </w:rPr>
        <w:t>euniones a los expertos y té</w:t>
      </w:r>
      <w:r w:rsidR="00252058">
        <w:rPr>
          <w:rFonts w:ascii="Nirmala UI" w:hAnsi="Nirmala UI" w:cs="Nirmala UI"/>
          <w:sz w:val="22"/>
          <w:szCs w:val="22"/>
        </w:rPr>
        <w:t xml:space="preserve">cnicos que considere necesario </w:t>
      </w:r>
      <w:r w:rsidR="005D6E4A" w:rsidRPr="00252058">
        <w:rPr>
          <w:rFonts w:ascii="Nirmala UI" w:hAnsi="Nirmala UI" w:cs="Nirmala UI"/>
          <w:sz w:val="22"/>
          <w:szCs w:val="22"/>
        </w:rPr>
        <w:t>con el fin de asesorar a la Comisión sobre los asuntos que se sometan a examen.</w:t>
      </w:r>
      <w:r w:rsidR="004D614C">
        <w:rPr>
          <w:rFonts w:ascii="Nirmala UI" w:hAnsi="Nirmala UI" w:cs="Nirmala UI"/>
          <w:sz w:val="22"/>
          <w:szCs w:val="22"/>
        </w:rPr>
        <w:t xml:space="preserve"> </w:t>
      </w:r>
      <w:r w:rsidR="004D614C" w:rsidRPr="004F554E">
        <w:rPr>
          <w:rFonts w:ascii="Nirmala UI" w:hAnsi="Nirmala UI" w:cs="Nirmala UI"/>
          <w:sz w:val="22"/>
          <w:szCs w:val="22"/>
        </w:rPr>
        <w:t>Asimismo, podrá invitar a representantes del sector empresarial o asociativo del destino con fines divulgativos de las actuaciones en el destino.</w:t>
      </w:r>
    </w:p>
    <w:p w14:paraId="156317C2" w14:textId="77777777" w:rsidR="001B6FDB" w:rsidRPr="002274B8" w:rsidRDefault="001B6FDB" w:rsidP="001B6FDB">
      <w:pPr>
        <w:pStyle w:val="Pa6"/>
        <w:jc w:val="both"/>
        <w:rPr>
          <w:rFonts w:ascii="Nirmala UI" w:hAnsi="Nirmala UI" w:cs="Nirmala UI"/>
          <w:sz w:val="22"/>
          <w:szCs w:val="22"/>
        </w:rPr>
      </w:pPr>
    </w:p>
    <w:p w14:paraId="15932FF1" w14:textId="1480A73A" w:rsidR="001B6FDB" w:rsidRPr="002274B8" w:rsidRDefault="001B6FDB" w:rsidP="001B6FDB">
      <w:pPr>
        <w:pStyle w:val="Pa6"/>
        <w:jc w:val="both"/>
        <w:rPr>
          <w:rFonts w:ascii="Nirmala UI" w:hAnsi="Nirmala UI" w:cs="Nirmala UI"/>
          <w:sz w:val="22"/>
          <w:szCs w:val="22"/>
        </w:rPr>
      </w:pPr>
      <w:r w:rsidRPr="002274B8">
        <w:rPr>
          <w:rFonts w:ascii="Nirmala UI" w:hAnsi="Nirmala UI" w:cs="Nirmala UI"/>
          <w:sz w:val="22"/>
          <w:szCs w:val="22"/>
        </w:rPr>
        <w:t>Para la adopción de decisiones en dicha Comisión, la Administración General del Estado, la Administración autonómica</w:t>
      </w:r>
      <w:r w:rsidR="008D379D" w:rsidRPr="002274B8">
        <w:rPr>
          <w:rFonts w:ascii="Nirmala UI" w:hAnsi="Nirmala UI" w:cs="Nirmala UI"/>
          <w:sz w:val="22"/>
          <w:szCs w:val="22"/>
        </w:rPr>
        <w:t xml:space="preserve"> y </w:t>
      </w:r>
      <w:r w:rsidR="006B0674" w:rsidRPr="002274B8">
        <w:rPr>
          <w:rFonts w:ascii="Nirmala UI" w:hAnsi="Nirmala UI" w:cs="Nirmala UI"/>
          <w:sz w:val="22"/>
          <w:szCs w:val="22"/>
        </w:rPr>
        <w:t>al Cabildo de Gran Canaria</w:t>
      </w:r>
      <w:r w:rsidR="008D379D" w:rsidRPr="002274B8">
        <w:rPr>
          <w:rFonts w:ascii="Nirmala UI" w:hAnsi="Nirmala UI" w:cs="Nirmala UI"/>
          <w:sz w:val="22"/>
          <w:szCs w:val="22"/>
        </w:rPr>
        <w:t xml:space="preserve"> </w:t>
      </w:r>
      <w:r w:rsidRPr="002274B8">
        <w:rPr>
          <w:rFonts w:ascii="Nirmala UI" w:hAnsi="Nirmala UI" w:cs="Nirmala UI"/>
          <w:sz w:val="22"/>
          <w:szCs w:val="22"/>
        </w:rPr>
        <w:t>contarán cada una de ellas con un sólo voto.</w:t>
      </w:r>
    </w:p>
    <w:p w14:paraId="6FCBF6AC" w14:textId="77777777" w:rsidR="008F4487" w:rsidRDefault="008F4487" w:rsidP="001B6FDB">
      <w:pPr>
        <w:autoSpaceDE w:val="0"/>
        <w:autoSpaceDN w:val="0"/>
        <w:adjustRightInd w:val="0"/>
        <w:spacing w:after="0" w:line="240" w:lineRule="auto"/>
        <w:jc w:val="both"/>
        <w:rPr>
          <w:rFonts w:ascii="Nirmala UI" w:hAnsi="Nirmala UI" w:cs="Nirmala UI"/>
          <w:color w:val="000000"/>
        </w:rPr>
      </w:pPr>
    </w:p>
    <w:p w14:paraId="4AA2E872" w14:textId="2281FCCD" w:rsidR="001B6FDB" w:rsidRPr="00365BDF" w:rsidRDefault="001B6FDB" w:rsidP="001B6FDB">
      <w:pPr>
        <w:autoSpaceDE w:val="0"/>
        <w:autoSpaceDN w:val="0"/>
        <w:adjustRightInd w:val="0"/>
        <w:spacing w:after="0" w:line="240" w:lineRule="auto"/>
        <w:jc w:val="both"/>
        <w:rPr>
          <w:rFonts w:ascii="Nirmala UI" w:hAnsi="Nirmala UI" w:cs="Nirmala UI"/>
          <w:color w:val="000000"/>
        </w:rPr>
      </w:pPr>
      <w:r w:rsidRPr="00365BDF">
        <w:rPr>
          <w:rFonts w:ascii="Nirmala UI" w:hAnsi="Nirmala UI" w:cs="Nirmala UI"/>
          <w:color w:val="000000"/>
        </w:rPr>
        <w:t>Los acuerdos serán adoptados por mayoría simple de las partes, excepto las propuestas de aprobación de las actuaciones, su modificación y la ampliación del plazo de ejecución y justificación, que exigirá el voto favorable de la Administración General del Estado, la Administración Autonómica</w:t>
      </w:r>
      <w:r w:rsidR="008D379D" w:rsidRPr="00365BDF">
        <w:rPr>
          <w:rFonts w:ascii="Nirmala UI" w:hAnsi="Nirmala UI" w:cs="Nirmala UI"/>
          <w:color w:val="000000"/>
        </w:rPr>
        <w:t xml:space="preserve"> y EE.</w:t>
      </w:r>
      <w:r w:rsidR="00BC54CF" w:rsidRPr="00365BDF">
        <w:rPr>
          <w:rFonts w:ascii="Nirmala UI" w:hAnsi="Nirmala UI" w:cs="Nirmala UI"/>
          <w:color w:val="000000"/>
        </w:rPr>
        <w:t>LL</w:t>
      </w:r>
      <w:r w:rsidR="008D379D" w:rsidRPr="00365BDF">
        <w:rPr>
          <w:rFonts w:ascii="Nirmala UI" w:hAnsi="Nirmala UI" w:cs="Nirmala UI"/>
          <w:color w:val="000000"/>
        </w:rPr>
        <w:t>.</w:t>
      </w:r>
      <w:r w:rsidR="00961C41" w:rsidRPr="00365BDF">
        <w:rPr>
          <w:rFonts w:ascii="Nirmala UI" w:hAnsi="Nirmala UI" w:cs="Nirmala UI"/>
          <w:color w:val="000000"/>
        </w:rPr>
        <w:t xml:space="preserve"> </w:t>
      </w:r>
      <w:r w:rsidRPr="00365BDF">
        <w:rPr>
          <w:rFonts w:ascii="Nirmala UI" w:hAnsi="Nirmala UI" w:cs="Nirmala UI"/>
          <w:color w:val="000000"/>
        </w:rPr>
        <w:t>y que deberá adoptarse con anterioridad a la finalización del plazo inicial previsto.</w:t>
      </w:r>
    </w:p>
    <w:p w14:paraId="01D39B8D" w14:textId="77777777" w:rsidR="00BB77C8" w:rsidRPr="00365BDF" w:rsidRDefault="00BB77C8" w:rsidP="00BC54CF">
      <w:pPr>
        <w:pStyle w:val="Pa6"/>
        <w:jc w:val="both"/>
        <w:rPr>
          <w:rFonts w:ascii="Nirmala UI" w:hAnsi="Nirmala UI" w:cs="Nirmala UI"/>
          <w:color w:val="000000"/>
          <w:sz w:val="22"/>
          <w:szCs w:val="22"/>
        </w:rPr>
      </w:pPr>
    </w:p>
    <w:p w14:paraId="608628EB" w14:textId="0D8B1F74" w:rsidR="00BC54CF" w:rsidRPr="00365BDF" w:rsidRDefault="00BB77C8" w:rsidP="00BC54CF">
      <w:pPr>
        <w:pStyle w:val="Pa6"/>
        <w:jc w:val="both"/>
        <w:rPr>
          <w:rFonts w:ascii="Nirmala UI" w:hAnsi="Nirmala UI" w:cs="Nirmala UI"/>
          <w:color w:val="000000"/>
          <w:sz w:val="22"/>
          <w:szCs w:val="22"/>
        </w:rPr>
      </w:pPr>
      <w:r w:rsidRPr="00365BDF">
        <w:rPr>
          <w:rFonts w:ascii="Nirmala UI" w:hAnsi="Nirmala UI" w:cs="Nirmala UI"/>
          <w:color w:val="000000"/>
          <w:sz w:val="22"/>
          <w:szCs w:val="22"/>
        </w:rPr>
        <w:t xml:space="preserve">2. </w:t>
      </w:r>
      <w:r w:rsidR="00BC54CF" w:rsidRPr="00365BDF">
        <w:rPr>
          <w:rFonts w:ascii="Nirmala UI" w:hAnsi="Nirmala UI" w:cs="Nirmala UI"/>
          <w:color w:val="000000"/>
          <w:sz w:val="22"/>
          <w:szCs w:val="22"/>
        </w:rPr>
        <w:t>La Comisión de Seguimiento tendrá las siguientes atribuciones:</w:t>
      </w:r>
    </w:p>
    <w:p w14:paraId="15DCA3B4" w14:textId="7CE7CF33" w:rsidR="00BC54CF" w:rsidRPr="00365BDF" w:rsidRDefault="00BC54CF" w:rsidP="00E83730">
      <w:pPr>
        <w:pStyle w:val="Pa7"/>
        <w:spacing w:before="160" w:line="276" w:lineRule="auto"/>
        <w:ind w:left="680"/>
        <w:jc w:val="both"/>
        <w:rPr>
          <w:rFonts w:ascii="Nirmala UI" w:hAnsi="Nirmala UI" w:cs="Nirmala UI"/>
          <w:color w:val="000000"/>
          <w:sz w:val="22"/>
          <w:szCs w:val="22"/>
        </w:rPr>
      </w:pPr>
      <w:r w:rsidRPr="00365BDF">
        <w:rPr>
          <w:rFonts w:ascii="Nirmala UI" w:hAnsi="Nirmala UI" w:cs="Nirmala UI"/>
          <w:color w:val="000000"/>
          <w:sz w:val="22"/>
          <w:szCs w:val="22"/>
        </w:rPr>
        <w:t xml:space="preserve">a) Solicitar a las partes firmantes, cuando alguna circunstancia sobrevenida así lo aconseje, la eliminación de alguna actuación existente y/o la aprobación de una nueva actuación; así como la </w:t>
      </w:r>
      <w:r w:rsidR="00160DDB" w:rsidRPr="00365BDF">
        <w:rPr>
          <w:rFonts w:ascii="Nirmala UI" w:hAnsi="Nirmala UI" w:cs="Nirmala UI"/>
          <w:color w:val="000000"/>
          <w:sz w:val="22"/>
          <w:szCs w:val="22"/>
        </w:rPr>
        <w:t xml:space="preserve">propuesta de </w:t>
      </w:r>
      <w:r w:rsidRPr="00365BDF">
        <w:rPr>
          <w:rFonts w:ascii="Nirmala UI" w:hAnsi="Nirmala UI" w:cs="Nirmala UI"/>
          <w:color w:val="000000"/>
          <w:sz w:val="22"/>
          <w:szCs w:val="22"/>
        </w:rPr>
        <w:t>ampliación del plazo de ejecución y justificación de las actuaciones.</w:t>
      </w:r>
    </w:p>
    <w:p w14:paraId="4C80EC2F" w14:textId="77777777" w:rsidR="00BC54CF" w:rsidRPr="00365BDF" w:rsidRDefault="00BC54CF" w:rsidP="00E83730">
      <w:pPr>
        <w:pStyle w:val="Pa6"/>
        <w:spacing w:line="276" w:lineRule="auto"/>
        <w:ind w:left="680"/>
        <w:jc w:val="both"/>
        <w:rPr>
          <w:rFonts w:ascii="Nirmala UI" w:hAnsi="Nirmala UI" w:cs="Nirmala UI"/>
          <w:color w:val="000000"/>
          <w:sz w:val="22"/>
          <w:szCs w:val="22"/>
        </w:rPr>
      </w:pPr>
      <w:r w:rsidRPr="00365BDF">
        <w:rPr>
          <w:rFonts w:ascii="Nirmala UI" w:hAnsi="Nirmala UI" w:cs="Nirmala UI"/>
          <w:color w:val="000000"/>
          <w:sz w:val="22"/>
          <w:szCs w:val="22"/>
        </w:rPr>
        <w:t>b) Programar la ejecución de los proyectos, determinar los criterios para su realización y verificar su ejecución, así como su adecuación a los fines perseguidos.</w:t>
      </w:r>
    </w:p>
    <w:p w14:paraId="08F19EF8" w14:textId="77777777" w:rsidR="00BC54CF" w:rsidRPr="00365BDF" w:rsidRDefault="00BC54CF" w:rsidP="00E83730">
      <w:pPr>
        <w:pStyle w:val="Pa6"/>
        <w:spacing w:line="276" w:lineRule="auto"/>
        <w:ind w:left="680"/>
        <w:jc w:val="both"/>
        <w:rPr>
          <w:rFonts w:ascii="Nirmala UI" w:hAnsi="Nirmala UI" w:cs="Nirmala UI"/>
          <w:color w:val="000000"/>
          <w:sz w:val="22"/>
          <w:szCs w:val="22"/>
        </w:rPr>
      </w:pPr>
      <w:r w:rsidRPr="00365BDF">
        <w:rPr>
          <w:rFonts w:ascii="Nirmala UI" w:hAnsi="Nirmala UI" w:cs="Nirmala UI"/>
          <w:color w:val="000000"/>
          <w:sz w:val="22"/>
          <w:szCs w:val="22"/>
        </w:rPr>
        <w:t>c) Adoptar las medidas que estime más adecuadas para la mejor organización y funcionamiento del convenio.</w:t>
      </w:r>
    </w:p>
    <w:p w14:paraId="386C460B" w14:textId="77777777" w:rsidR="00BC54CF" w:rsidRPr="00365BDF" w:rsidRDefault="00BC54CF" w:rsidP="00E83730">
      <w:pPr>
        <w:pStyle w:val="Pa6"/>
        <w:spacing w:line="276" w:lineRule="auto"/>
        <w:ind w:left="340" w:firstLine="340"/>
        <w:jc w:val="both"/>
        <w:rPr>
          <w:rFonts w:ascii="Nirmala UI" w:hAnsi="Nirmala UI" w:cs="Nirmala UI"/>
          <w:color w:val="000000"/>
          <w:sz w:val="22"/>
          <w:szCs w:val="22"/>
        </w:rPr>
      </w:pPr>
      <w:r w:rsidRPr="00365BDF">
        <w:rPr>
          <w:rFonts w:ascii="Nirmala UI" w:hAnsi="Nirmala UI" w:cs="Nirmala UI"/>
          <w:color w:val="000000"/>
          <w:sz w:val="22"/>
          <w:szCs w:val="22"/>
        </w:rPr>
        <w:t>d) Resolver los problemas de interpretación y cumplimiento del convenio.</w:t>
      </w:r>
    </w:p>
    <w:p w14:paraId="2CC7E572" w14:textId="38AFC60F" w:rsidR="00BC54CF" w:rsidRPr="002274B8" w:rsidRDefault="00BC54CF" w:rsidP="00E83730">
      <w:pPr>
        <w:pStyle w:val="Pa6"/>
        <w:spacing w:line="276" w:lineRule="auto"/>
        <w:ind w:left="680"/>
        <w:jc w:val="both"/>
        <w:rPr>
          <w:rFonts w:ascii="Nirmala UI" w:hAnsi="Nirmala UI" w:cs="Nirmala UI"/>
          <w:sz w:val="22"/>
          <w:szCs w:val="22"/>
        </w:rPr>
      </w:pPr>
      <w:r w:rsidRPr="00365BDF">
        <w:rPr>
          <w:rFonts w:ascii="Nirmala UI" w:hAnsi="Nirmala UI" w:cs="Nirmala UI"/>
          <w:color w:val="000000"/>
          <w:sz w:val="22"/>
          <w:szCs w:val="22"/>
        </w:rPr>
        <w:t xml:space="preserve">e) Sin perjuicio de las </w:t>
      </w:r>
      <w:r w:rsidRPr="002274B8">
        <w:rPr>
          <w:rFonts w:ascii="Nirmala UI" w:hAnsi="Nirmala UI" w:cs="Nirmala UI"/>
          <w:sz w:val="22"/>
          <w:szCs w:val="22"/>
        </w:rPr>
        <w:t>competencias de la correspondiente Mesa de Contratación, actuar como Comisión Asesora del órgano de contratación de</w:t>
      </w:r>
      <w:r w:rsidR="00BD53B6" w:rsidRPr="002274B8">
        <w:rPr>
          <w:rFonts w:ascii="Nirmala UI" w:hAnsi="Nirmala UI" w:cs="Nirmala UI"/>
          <w:sz w:val="22"/>
          <w:szCs w:val="22"/>
        </w:rPr>
        <w:t>l Cabildo de Gran Canaria</w:t>
      </w:r>
      <w:r w:rsidR="00FC46B6" w:rsidRPr="002274B8">
        <w:rPr>
          <w:rFonts w:ascii="Nirmala UI" w:hAnsi="Nirmala UI" w:cs="Nirmala UI"/>
          <w:sz w:val="22"/>
          <w:szCs w:val="22"/>
        </w:rPr>
        <w:t xml:space="preserve"> </w:t>
      </w:r>
      <w:r w:rsidRPr="002274B8">
        <w:rPr>
          <w:rFonts w:ascii="Nirmala UI" w:hAnsi="Nirmala UI" w:cs="Nirmala UI"/>
          <w:sz w:val="22"/>
          <w:szCs w:val="22"/>
        </w:rPr>
        <w:t>ejecutante, en las adjudicaciones de los contratos que afecten al plan, excepto en aquellos casos en los que la Comisión renuncie expresamente a ello.</w:t>
      </w:r>
    </w:p>
    <w:p w14:paraId="0BBA0AE7" w14:textId="77777777" w:rsidR="00BC54CF" w:rsidRPr="00365BDF" w:rsidRDefault="00BC54CF" w:rsidP="00E83730">
      <w:pPr>
        <w:pStyle w:val="Pa6"/>
        <w:spacing w:line="276" w:lineRule="auto"/>
        <w:ind w:left="340" w:firstLine="340"/>
        <w:jc w:val="both"/>
        <w:rPr>
          <w:rFonts w:ascii="Nirmala UI" w:hAnsi="Nirmala UI" w:cs="Nirmala UI"/>
          <w:color w:val="000000"/>
          <w:sz w:val="22"/>
          <w:szCs w:val="22"/>
        </w:rPr>
      </w:pPr>
      <w:r w:rsidRPr="002274B8">
        <w:rPr>
          <w:rFonts w:ascii="Nirmala UI" w:hAnsi="Nirmala UI" w:cs="Nirmala UI"/>
          <w:sz w:val="22"/>
          <w:szCs w:val="22"/>
        </w:rPr>
        <w:t xml:space="preserve">f) Autorizar el nombramiento </w:t>
      </w:r>
      <w:r w:rsidRPr="00365BDF">
        <w:rPr>
          <w:rFonts w:ascii="Nirmala UI" w:hAnsi="Nirmala UI" w:cs="Nirmala UI"/>
          <w:color w:val="000000"/>
          <w:sz w:val="22"/>
          <w:szCs w:val="22"/>
        </w:rPr>
        <w:t>de la gerencia del plan.</w:t>
      </w:r>
    </w:p>
    <w:p w14:paraId="7B40F424" w14:textId="77777777" w:rsidR="00BC54CF" w:rsidRPr="00365BDF" w:rsidRDefault="00BC54CF" w:rsidP="00E83730">
      <w:pPr>
        <w:pStyle w:val="Pa6"/>
        <w:spacing w:line="276" w:lineRule="auto"/>
        <w:ind w:left="340" w:firstLine="340"/>
        <w:jc w:val="both"/>
        <w:rPr>
          <w:rFonts w:ascii="Nirmala UI" w:hAnsi="Nirmala UI" w:cs="Nirmala UI"/>
          <w:color w:val="000000"/>
          <w:sz w:val="22"/>
          <w:szCs w:val="22"/>
        </w:rPr>
      </w:pPr>
      <w:r w:rsidRPr="00365BDF">
        <w:rPr>
          <w:rFonts w:ascii="Nirmala UI" w:hAnsi="Nirmala UI" w:cs="Nirmala UI"/>
          <w:color w:val="000000"/>
          <w:sz w:val="22"/>
          <w:szCs w:val="22"/>
        </w:rPr>
        <w:t>g) Supervisar la labor de la gerencia y autorizar y verificar sus gastos.</w:t>
      </w:r>
    </w:p>
    <w:p w14:paraId="05E2FA13" w14:textId="77777777" w:rsidR="00BC54CF" w:rsidRPr="00365BDF" w:rsidRDefault="00BC54CF" w:rsidP="00E83730">
      <w:pPr>
        <w:autoSpaceDE w:val="0"/>
        <w:autoSpaceDN w:val="0"/>
        <w:adjustRightInd w:val="0"/>
        <w:spacing w:after="0" w:line="276" w:lineRule="auto"/>
        <w:ind w:left="680"/>
        <w:jc w:val="both"/>
        <w:rPr>
          <w:rFonts w:ascii="Nirmala UI" w:hAnsi="Nirmala UI" w:cs="Nirmala UI"/>
          <w:color w:val="000000"/>
        </w:rPr>
      </w:pPr>
      <w:r w:rsidRPr="00365BDF">
        <w:rPr>
          <w:rFonts w:ascii="Nirmala UI" w:hAnsi="Nirmala UI" w:cs="Nirmala UI"/>
          <w:color w:val="000000"/>
        </w:rPr>
        <w:t>h) Acordar el destino de los remanentes generados como consecuencia del menor coste de una actuación dada.</w:t>
      </w:r>
    </w:p>
    <w:p w14:paraId="6FA05B14" w14:textId="77777777" w:rsidR="00BC54CF" w:rsidRPr="00365BDF" w:rsidRDefault="00BC54CF" w:rsidP="00BC54CF">
      <w:pPr>
        <w:autoSpaceDE w:val="0"/>
        <w:autoSpaceDN w:val="0"/>
        <w:adjustRightInd w:val="0"/>
        <w:spacing w:after="0" w:line="240" w:lineRule="auto"/>
        <w:jc w:val="both"/>
        <w:rPr>
          <w:rFonts w:ascii="Nirmala UI" w:hAnsi="Nirmala UI" w:cs="Nirmala UI"/>
          <w:color w:val="000000"/>
        </w:rPr>
      </w:pPr>
    </w:p>
    <w:p w14:paraId="75D30699" w14:textId="77777777" w:rsidR="00BC54CF" w:rsidRPr="00365BDF" w:rsidRDefault="00BC54CF" w:rsidP="00BC54CF">
      <w:pPr>
        <w:pStyle w:val="Sinespaciado"/>
        <w:rPr>
          <w:rFonts w:ascii="Nirmala UI" w:hAnsi="Nirmala UI" w:cs="Nirmala UI"/>
          <w:b/>
        </w:rPr>
      </w:pPr>
      <w:r w:rsidRPr="00365BDF">
        <w:rPr>
          <w:rFonts w:ascii="Nirmala UI" w:hAnsi="Nirmala UI" w:cs="Nirmala UI"/>
          <w:b/>
        </w:rPr>
        <w:t xml:space="preserve">Novena. </w:t>
      </w:r>
      <w:r w:rsidRPr="00365BDF">
        <w:rPr>
          <w:rFonts w:ascii="Nirmala UI" w:hAnsi="Nirmala UI" w:cs="Nirmala UI"/>
          <w:b/>
          <w:i/>
        </w:rPr>
        <w:t>Ejecución del Plan</w:t>
      </w:r>
    </w:p>
    <w:p w14:paraId="3BB110FF" w14:textId="7859D6A0" w:rsidR="00BC54CF" w:rsidRPr="002274B8" w:rsidRDefault="00BC54CF" w:rsidP="00BB77C8">
      <w:pPr>
        <w:pStyle w:val="Sinespaciado"/>
        <w:numPr>
          <w:ilvl w:val="0"/>
          <w:numId w:val="15"/>
        </w:numPr>
        <w:jc w:val="both"/>
        <w:rPr>
          <w:rFonts w:ascii="Nirmala UI" w:hAnsi="Nirmala UI" w:cs="Nirmala UI"/>
        </w:rPr>
      </w:pPr>
      <w:r w:rsidRPr="00365BDF">
        <w:rPr>
          <w:rFonts w:ascii="Nirmala UI" w:hAnsi="Nirmala UI" w:cs="Nirmala UI"/>
        </w:rPr>
        <w:t xml:space="preserve">Las actuaciones a ejecutar en cada anualidad serán las que se </w:t>
      </w:r>
      <w:r w:rsidR="00190A74" w:rsidRPr="00365BDF">
        <w:rPr>
          <w:rFonts w:ascii="Nirmala UI" w:hAnsi="Nirmala UI" w:cs="Nirmala UI"/>
        </w:rPr>
        <w:t>acuerden por la Comisión de Seguimiento conforme a las actuaciones elegibles enumeradas en el Programa de Planes de Sosteni</w:t>
      </w:r>
      <w:r w:rsidR="00CE42CA">
        <w:rPr>
          <w:rFonts w:ascii="Nirmala UI" w:hAnsi="Nirmala UI" w:cs="Nirmala UI"/>
        </w:rPr>
        <w:t>bilidad Turística en Destinos</w:t>
      </w:r>
      <w:r w:rsidR="00190A74" w:rsidRPr="00365BDF">
        <w:rPr>
          <w:rFonts w:ascii="Nirmala UI" w:hAnsi="Nirmala UI" w:cs="Nirmala UI"/>
        </w:rPr>
        <w:t>,</w:t>
      </w:r>
      <w:r w:rsidRPr="00365BDF">
        <w:rPr>
          <w:rFonts w:ascii="Nirmala UI" w:hAnsi="Nirmala UI" w:cs="Nirmala UI"/>
        </w:rPr>
        <w:t xml:space="preserve"> que tendrán que realizarse en consonancia con la Ley 9/2017, de 8 de noviembre, de Contratos del Sector Público, por la que se transponen al ordenamiento jurídico español las Directivas del </w:t>
      </w:r>
      <w:r w:rsidRPr="002274B8">
        <w:rPr>
          <w:rFonts w:ascii="Nirmala UI" w:hAnsi="Nirmala UI" w:cs="Nirmala UI"/>
        </w:rPr>
        <w:t>Parlamento Europeo y del Consejo 2014/23/UE y 2014/24/UE, de 26 de febrero de 2014.</w:t>
      </w:r>
    </w:p>
    <w:p w14:paraId="4BCEE942" w14:textId="2AA75F68" w:rsidR="002F724D" w:rsidRDefault="002F724D" w:rsidP="002F724D">
      <w:pPr>
        <w:pStyle w:val="Pa6"/>
        <w:numPr>
          <w:ilvl w:val="0"/>
          <w:numId w:val="15"/>
        </w:numPr>
        <w:jc w:val="both"/>
        <w:rPr>
          <w:rFonts w:ascii="Nirmala UI" w:hAnsi="Nirmala UI" w:cs="Nirmala UI"/>
          <w:color w:val="000000"/>
          <w:sz w:val="22"/>
          <w:szCs w:val="22"/>
        </w:rPr>
      </w:pPr>
      <w:r w:rsidRPr="002274B8">
        <w:rPr>
          <w:rFonts w:ascii="Nirmala UI" w:hAnsi="Nirmala UI" w:cs="Nirmala UI"/>
          <w:sz w:val="22"/>
          <w:szCs w:val="22"/>
        </w:rPr>
        <w:t xml:space="preserve">Para la puesta en práctica de las actuaciones del presente convenio, </w:t>
      </w:r>
      <w:r w:rsidR="00BD53B6" w:rsidRPr="002274B8">
        <w:rPr>
          <w:rFonts w:ascii="Nirmala UI" w:hAnsi="Nirmala UI" w:cs="Nirmala UI"/>
          <w:sz w:val="22"/>
          <w:szCs w:val="22"/>
        </w:rPr>
        <w:t>el Cabildo de Gran Canaria</w:t>
      </w:r>
      <w:r w:rsidRPr="002274B8">
        <w:rPr>
          <w:rFonts w:ascii="Nirmala UI" w:hAnsi="Nirmala UI" w:cs="Nirmala UI"/>
          <w:sz w:val="22"/>
          <w:szCs w:val="22"/>
        </w:rPr>
        <w:t xml:space="preserve"> podrá contar con una Gerencia del Plan, que no tendrá personalidad jurídica y que actuará </w:t>
      </w:r>
      <w:r>
        <w:rPr>
          <w:rFonts w:ascii="Nirmala UI" w:hAnsi="Nirmala UI" w:cs="Nirmala UI"/>
          <w:color w:val="000000"/>
          <w:sz w:val="22"/>
          <w:szCs w:val="22"/>
        </w:rPr>
        <w:t>como órgano de apoyo a la Comisión de Seguimiento. La Gerencia dependerá a todos los efectos de la Comisión de Seguimiento.</w:t>
      </w:r>
    </w:p>
    <w:p w14:paraId="5BD77925" w14:textId="77777777" w:rsidR="002F724D" w:rsidRDefault="002F724D" w:rsidP="002F724D">
      <w:pPr>
        <w:pStyle w:val="Default"/>
        <w:rPr>
          <w:rFonts w:ascii="Nirmala UI" w:hAnsi="Nirmala UI" w:cs="Nirmala UI"/>
          <w:sz w:val="22"/>
          <w:szCs w:val="22"/>
        </w:rPr>
      </w:pPr>
    </w:p>
    <w:p w14:paraId="744F570E" w14:textId="77777777" w:rsidR="002F724D" w:rsidRDefault="002F724D" w:rsidP="002F724D">
      <w:pPr>
        <w:pStyle w:val="Pa6"/>
        <w:numPr>
          <w:ilvl w:val="0"/>
          <w:numId w:val="15"/>
        </w:numPr>
        <w:jc w:val="both"/>
        <w:rPr>
          <w:rFonts w:ascii="Nirmala UI" w:hAnsi="Nirmala UI" w:cs="Nirmala UI"/>
          <w:color w:val="000000"/>
          <w:sz w:val="22"/>
          <w:szCs w:val="22"/>
        </w:rPr>
      </w:pPr>
      <w:r>
        <w:rPr>
          <w:rFonts w:ascii="Nirmala UI" w:hAnsi="Nirmala UI" w:cs="Nirmala UI"/>
          <w:color w:val="000000"/>
          <w:sz w:val="22"/>
          <w:szCs w:val="22"/>
        </w:rPr>
        <w:t>Las funciones a desarrollar por la Gerencia serán:</w:t>
      </w:r>
    </w:p>
    <w:p w14:paraId="22CBB364" w14:textId="77777777" w:rsidR="002F724D" w:rsidRDefault="002F724D" w:rsidP="002F724D">
      <w:pPr>
        <w:pStyle w:val="Pa7"/>
        <w:spacing w:before="160" w:line="276" w:lineRule="auto"/>
        <w:ind w:left="340" w:firstLine="340"/>
        <w:jc w:val="both"/>
        <w:rPr>
          <w:rFonts w:ascii="Nirmala UI" w:hAnsi="Nirmala UI" w:cs="Nirmala UI"/>
          <w:color w:val="000000"/>
          <w:sz w:val="22"/>
          <w:szCs w:val="22"/>
        </w:rPr>
      </w:pPr>
      <w:r>
        <w:rPr>
          <w:rFonts w:ascii="Nirmala UI" w:hAnsi="Nirmala UI" w:cs="Nirmala UI"/>
          <w:color w:val="000000"/>
          <w:sz w:val="22"/>
          <w:szCs w:val="22"/>
        </w:rPr>
        <w:t>a) Impulsar las actuaciones del Plan.</w:t>
      </w:r>
    </w:p>
    <w:p w14:paraId="7BADCE2E" w14:textId="77777777" w:rsidR="002F724D" w:rsidRDefault="002F724D" w:rsidP="002F724D">
      <w:pPr>
        <w:pStyle w:val="Pa6"/>
        <w:spacing w:line="276" w:lineRule="auto"/>
        <w:ind w:left="340" w:firstLine="340"/>
        <w:jc w:val="both"/>
        <w:rPr>
          <w:rFonts w:ascii="Nirmala UI" w:hAnsi="Nirmala UI" w:cs="Nirmala UI"/>
          <w:color w:val="000000"/>
          <w:sz w:val="22"/>
          <w:szCs w:val="22"/>
        </w:rPr>
      </w:pPr>
      <w:r>
        <w:rPr>
          <w:rFonts w:ascii="Nirmala UI" w:hAnsi="Nirmala UI" w:cs="Nirmala UI"/>
          <w:color w:val="000000"/>
          <w:sz w:val="22"/>
          <w:szCs w:val="22"/>
        </w:rPr>
        <w:t>b) Difundir los objetivos y las actuaciones el Plan.</w:t>
      </w:r>
    </w:p>
    <w:p w14:paraId="55CBA628" w14:textId="77777777" w:rsidR="002F724D" w:rsidRDefault="002F724D" w:rsidP="002F724D">
      <w:pPr>
        <w:pStyle w:val="Pa6"/>
        <w:spacing w:line="276" w:lineRule="auto"/>
        <w:ind w:left="340" w:firstLine="340"/>
        <w:jc w:val="both"/>
        <w:rPr>
          <w:rFonts w:ascii="Nirmala UI" w:hAnsi="Nirmala UI" w:cs="Nirmala UI"/>
          <w:color w:val="000000"/>
          <w:sz w:val="22"/>
          <w:szCs w:val="22"/>
        </w:rPr>
      </w:pPr>
      <w:r>
        <w:rPr>
          <w:rFonts w:ascii="Nirmala UI" w:hAnsi="Nirmala UI" w:cs="Nirmala UI"/>
          <w:color w:val="000000"/>
          <w:sz w:val="22"/>
          <w:szCs w:val="22"/>
        </w:rPr>
        <w:t>c) Efectuar propuestas de actuaciones.</w:t>
      </w:r>
    </w:p>
    <w:p w14:paraId="00B238A8" w14:textId="77777777" w:rsidR="002F724D" w:rsidRDefault="002F724D" w:rsidP="002F724D">
      <w:pPr>
        <w:pStyle w:val="Pa6"/>
        <w:spacing w:line="276" w:lineRule="auto"/>
        <w:ind w:left="680"/>
        <w:jc w:val="both"/>
        <w:rPr>
          <w:rFonts w:ascii="Nirmala UI" w:hAnsi="Nirmala UI" w:cs="Nirmala UI"/>
          <w:color w:val="000000"/>
          <w:sz w:val="22"/>
          <w:szCs w:val="22"/>
        </w:rPr>
      </w:pPr>
      <w:r>
        <w:rPr>
          <w:rFonts w:ascii="Nirmala UI" w:hAnsi="Nirmala UI" w:cs="Nirmala UI"/>
          <w:color w:val="000000"/>
          <w:sz w:val="22"/>
          <w:szCs w:val="22"/>
        </w:rPr>
        <w:t>d) Procurar la coordinación del Plan con otras actuaciones que puedan llevar a cabo en la zona las administraciones representadas en el convenio.</w:t>
      </w:r>
    </w:p>
    <w:p w14:paraId="50343CA1" w14:textId="77777777" w:rsidR="002F724D" w:rsidRDefault="002F724D" w:rsidP="002F724D">
      <w:pPr>
        <w:pStyle w:val="Pa6"/>
        <w:spacing w:line="276" w:lineRule="auto"/>
        <w:ind w:left="680"/>
        <w:jc w:val="both"/>
        <w:rPr>
          <w:rFonts w:ascii="Nirmala UI" w:hAnsi="Nirmala UI" w:cs="Nirmala UI"/>
          <w:color w:val="000000"/>
          <w:sz w:val="22"/>
          <w:szCs w:val="22"/>
        </w:rPr>
      </w:pPr>
      <w:r>
        <w:rPr>
          <w:rFonts w:ascii="Nirmala UI" w:hAnsi="Nirmala UI" w:cs="Nirmala UI"/>
          <w:color w:val="000000"/>
          <w:sz w:val="22"/>
          <w:szCs w:val="22"/>
        </w:rPr>
        <w:t>e) Recabar la documentación precisa para la justificación de las actuaciones del Plan y en particular la referida al FEDER en los casos en que sea preciso.</w:t>
      </w:r>
    </w:p>
    <w:p w14:paraId="7F06BDC8" w14:textId="77777777" w:rsidR="002F724D" w:rsidRDefault="002F724D" w:rsidP="002F724D">
      <w:pPr>
        <w:pStyle w:val="Pa6"/>
        <w:spacing w:line="276" w:lineRule="auto"/>
        <w:ind w:left="340" w:firstLine="340"/>
        <w:jc w:val="both"/>
        <w:rPr>
          <w:rFonts w:ascii="Nirmala UI" w:hAnsi="Nirmala UI" w:cs="Nirmala UI"/>
          <w:color w:val="000000"/>
          <w:sz w:val="22"/>
          <w:szCs w:val="22"/>
        </w:rPr>
      </w:pPr>
      <w:r>
        <w:rPr>
          <w:rFonts w:ascii="Nirmala UI" w:hAnsi="Nirmala UI" w:cs="Nirmala UI"/>
          <w:color w:val="000000"/>
          <w:sz w:val="22"/>
          <w:szCs w:val="22"/>
        </w:rPr>
        <w:t>f) Ejercer la secretaría de la Comisión de Seguimiento y del Plan.</w:t>
      </w:r>
    </w:p>
    <w:p w14:paraId="40ABB065" w14:textId="77777777" w:rsidR="002F724D" w:rsidRDefault="002F724D" w:rsidP="002F724D">
      <w:pPr>
        <w:autoSpaceDE w:val="0"/>
        <w:autoSpaceDN w:val="0"/>
        <w:adjustRightInd w:val="0"/>
        <w:spacing w:after="0" w:line="276" w:lineRule="auto"/>
        <w:ind w:left="680"/>
        <w:jc w:val="both"/>
        <w:rPr>
          <w:rFonts w:ascii="Nirmala UI" w:hAnsi="Nirmala UI" w:cs="Nirmala UI"/>
          <w:color w:val="000000"/>
        </w:rPr>
      </w:pPr>
      <w:r>
        <w:rPr>
          <w:rFonts w:ascii="Nirmala UI" w:hAnsi="Nirmala UI" w:cs="Nirmala UI"/>
          <w:color w:val="000000"/>
        </w:rPr>
        <w:t>g) Cualquier otra que le asigne la Comisión de Seguimiento.</w:t>
      </w:r>
    </w:p>
    <w:p w14:paraId="159AED95" w14:textId="77777777" w:rsidR="002F724D" w:rsidRDefault="002F724D" w:rsidP="002F724D">
      <w:pPr>
        <w:autoSpaceDE w:val="0"/>
        <w:autoSpaceDN w:val="0"/>
        <w:adjustRightInd w:val="0"/>
        <w:spacing w:after="0" w:line="240" w:lineRule="auto"/>
        <w:jc w:val="both"/>
        <w:rPr>
          <w:rFonts w:ascii="Nirmala UI" w:hAnsi="Nirmala UI" w:cs="Nirmala UI"/>
          <w:color w:val="000000"/>
        </w:rPr>
      </w:pPr>
    </w:p>
    <w:p w14:paraId="73992D44" w14:textId="2FD6234C" w:rsidR="002F724D" w:rsidRPr="002274B8" w:rsidRDefault="002F724D" w:rsidP="002F724D">
      <w:pPr>
        <w:pStyle w:val="Prrafodelista"/>
        <w:numPr>
          <w:ilvl w:val="0"/>
          <w:numId w:val="15"/>
        </w:numPr>
        <w:autoSpaceDE w:val="0"/>
        <w:autoSpaceDN w:val="0"/>
        <w:adjustRightInd w:val="0"/>
        <w:spacing w:after="0" w:line="240" w:lineRule="auto"/>
        <w:jc w:val="both"/>
        <w:rPr>
          <w:rFonts w:ascii="Nirmala UI" w:hAnsi="Nirmala UI" w:cs="Nirmala UI"/>
        </w:rPr>
      </w:pPr>
      <w:r>
        <w:rPr>
          <w:rFonts w:ascii="Nirmala UI" w:hAnsi="Nirmala UI" w:cs="Nirmala UI"/>
          <w:color w:val="000000"/>
        </w:rPr>
        <w:t xml:space="preserve">La </w:t>
      </w:r>
      <w:r w:rsidRPr="002274B8">
        <w:rPr>
          <w:rFonts w:ascii="Nirmala UI" w:hAnsi="Nirmala UI" w:cs="Nirmala UI"/>
        </w:rPr>
        <w:t xml:space="preserve">gerencia podrá ser desempeñada por personal propio </w:t>
      </w:r>
      <w:r w:rsidR="00BD53B6" w:rsidRPr="002274B8">
        <w:rPr>
          <w:rFonts w:ascii="Nirmala UI" w:hAnsi="Nirmala UI" w:cs="Nirmala UI"/>
        </w:rPr>
        <w:t>del Cabildo de Gran Canaria</w:t>
      </w:r>
      <w:r w:rsidRPr="002274B8">
        <w:rPr>
          <w:rFonts w:ascii="Nirmala UI" w:hAnsi="Nirmala UI" w:cs="Nirmala UI"/>
        </w:rPr>
        <w:t>, en cuyo caso ésta se hará cargo de los costes de la misma; o ser externalizada, en cuyo caso la selección y nombramiento se realizará por la Comisión de Seguimiento, correspondiendo la contratación y pago de la misma a la EE.LL. ejecutante, con cargo a los fondos asignados al Plan.</w:t>
      </w:r>
    </w:p>
    <w:p w14:paraId="566A7620" w14:textId="77777777" w:rsidR="002F724D" w:rsidRPr="002274B8" w:rsidRDefault="002F724D" w:rsidP="002F724D">
      <w:pPr>
        <w:pStyle w:val="Prrafodelista"/>
        <w:autoSpaceDE w:val="0"/>
        <w:autoSpaceDN w:val="0"/>
        <w:adjustRightInd w:val="0"/>
        <w:spacing w:after="0" w:line="240" w:lineRule="auto"/>
        <w:ind w:left="360"/>
        <w:jc w:val="both"/>
        <w:rPr>
          <w:rFonts w:ascii="Nirmala UI" w:hAnsi="Nirmala UI" w:cs="Nirmala UI"/>
        </w:rPr>
      </w:pPr>
    </w:p>
    <w:p w14:paraId="4D427D2B" w14:textId="0DC6F346" w:rsidR="002F724D" w:rsidRPr="002274B8" w:rsidRDefault="002F724D" w:rsidP="002F724D">
      <w:pPr>
        <w:pStyle w:val="Pa6"/>
        <w:ind w:left="360"/>
        <w:jc w:val="both"/>
        <w:rPr>
          <w:rFonts w:ascii="Nirmala UI" w:hAnsi="Nirmala UI" w:cs="Nirmala UI"/>
          <w:sz w:val="22"/>
          <w:szCs w:val="22"/>
        </w:rPr>
      </w:pPr>
      <w:r w:rsidRPr="002274B8">
        <w:rPr>
          <w:rFonts w:ascii="Nirmala UI" w:hAnsi="Nirmala UI" w:cs="Nirmala UI"/>
          <w:sz w:val="22"/>
          <w:szCs w:val="22"/>
        </w:rPr>
        <w:t xml:space="preserve">Tras la entrada en vigor del presente convenio, </w:t>
      </w:r>
      <w:r w:rsidR="00BD53B6" w:rsidRPr="002274B8">
        <w:rPr>
          <w:rFonts w:ascii="Nirmala UI" w:hAnsi="Nirmala UI" w:cs="Nirmala UI"/>
          <w:sz w:val="22"/>
          <w:szCs w:val="22"/>
        </w:rPr>
        <w:t xml:space="preserve">el Cabildo de Gran Canaria </w:t>
      </w:r>
      <w:r w:rsidRPr="002274B8">
        <w:rPr>
          <w:rFonts w:ascii="Nirmala UI" w:hAnsi="Nirmala UI" w:cs="Nirmala UI"/>
          <w:sz w:val="22"/>
          <w:szCs w:val="22"/>
        </w:rPr>
        <w:t>procederá a convocar, en su caso, el puesto de gerente, previo acuerdo de todas las administraciones firmantes.</w:t>
      </w:r>
    </w:p>
    <w:p w14:paraId="0AC8C8C5" w14:textId="77777777" w:rsidR="002F724D" w:rsidRPr="002274B8" w:rsidRDefault="002F724D" w:rsidP="002F724D">
      <w:pPr>
        <w:pStyle w:val="Default"/>
        <w:rPr>
          <w:color w:val="auto"/>
        </w:rPr>
      </w:pPr>
    </w:p>
    <w:p w14:paraId="53CAE17E" w14:textId="0603D333" w:rsidR="002F724D" w:rsidRDefault="002F724D" w:rsidP="002F724D">
      <w:pPr>
        <w:pStyle w:val="Pa6"/>
        <w:ind w:left="360"/>
        <w:jc w:val="both"/>
        <w:rPr>
          <w:rFonts w:ascii="Nirmala UI" w:hAnsi="Nirmala UI" w:cs="Nirmala UI"/>
          <w:color w:val="000000"/>
          <w:sz w:val="22"/>
          <w:szCs w:val="22"/>
        </w:rPr>
      </w:pPr>
      <w:r w:rsidRPr="002274B8">
        <w:rPr>
          <w:rFonts w:ascii="Nirmala UI" w:hAnsi="Nirmala UI" w:cs="Nirmala UI"/>
          <w:sz w:val="22"/>
          <w:szCs w:val="22"/>
        </w:rPr>
        <w:t xml:space="preserve">No obstante, la designación entre el personal </w:t>
      </w:r>
      <w:r w:rsidR="00BD53B6" w:rsidRPr="002274B8">
        <w:rPr>
          <w:rFonts w:ascii="Nirmala UI" w:hAnsi="Nirmala UI" w:cs="Nirmala UI"/>
          <w:sz w:val="22"/>
          <w:szCs w:val="22"/>
        </w:rPr>
        <w:t xml:space="preserve">del Cabildo de Gran Canaria </w:t>
      </w:r>
      <w:r w:rsidRPr="002274B8">
        <w:rPr>
          <w:rFonts w:ascii="Nirmala UI" w:hAnsi="Nirmala UI" w:cs="Nirmala UI"/>
          <w:sz w:val="22"/>
          <w:szCs w:val="22"/>
        </w:rPr>
        <w:t xml:space="preserve">o la adjudicación externa de la gerencia no se llevará a cabo hasta que se haya constituido la Comisión de Seguimiento y ésta lo haya autorizado. </w:t>
      </w:r>
      <w:r w:rsidR="00BD53B6" w:rsidRPr="002274B8">
        <w:rPr>
          <w:rFonts w:ascii="Nirmala UI" w:hAnsi="Nirmala UI" w:cs="Nirmala UI"/>
          <w:sz w:val="22"/>
          <w:szCs w:val="22"/>
        </w:rPr>
        <w:t>El Cabildo de Gran Canaria</w:t>
      </w:r>
      <w:r w:rsidRPr="002274B8">
        <w:rPr>
          <w:rFonts w:ascii="Nirmala UI" w:hAnsi="Nirmala UI" w:cs="Nirmala UI"/>
          <w:sz w:val="22"/>
          <w:szCs w:val="22"/>
        </w:rPr>
        <w:t xml:space="preserve"> podrá imputar los gastos derivados </w:t>
      </w:r>
      <w:r>
        <w:rPr>
          <w:rFonts w:ascii="Nirmala UI" w:hAnsi="Nirmala UI" w:cs="Nirmala UI"/>
          <w:color w:val="000000"/>
          <w:sz w:val="22"/>
          <w:szCs w:val="22"/>
        </w:rPr>
        <w:t xml:space="preserve">del procedimiento de selección externa del gerente a los correspondientes presupuestos del Plan, una vez </w:t>
      </w:r>
      <w:r>
        <w:rPr>
          <w:rFonts w:ascii="Nirmala UI" w:hAnsi="Nirmala UI" w:cs="Nirmala UI"/>
          <w:sz w:val="22"/>
          <w:szCs w:val="22"/>
        </w:rPr>
        <w:t xml:space="preserve">adquiera eficacia </w:t>
      </w:r>
      <w:r>
        <w:rPr>
          <w:rFonts w:ascii="Nirmala UI" w:hAnsi="Nirmala UI" w:cs="Nirmala UI"/>
          <w:color w:val="000000"/>
          <w:sz w:val="22"/>
          <w:szCs w:val="22"/>
        </w:rPr>
        <w:t>el presente convenio.</w:t>
      </w:r>
    </w:p>
    <w:p w14:paraId="12E5D264" w14:textId="77777777" w:rsidR="00FE53EC" w:rsidRPr="00365BDF" w:rsidRDefault="00FE53EC" w:rsidP="00BC54CF">
      <w:pPr>
        <w:pStyle w:val="Sinespaciado"/>
        <w:jc w:val="both"/>
        <w:rPr>
          <w:rFonts w:ascii="Nirmala UI" w:hAnsi="Nirmala UI" w:cs="Nirmala UI"/>
        </w:rPr>
      </w:pPr>
    </w:p>
    <w:p w14:paraId="2EFAD4F7" w14:textId="385ACA25" w:rsidR="00CE42CA" w:rsidRPr="00943031" w:rsidRDefault="00BC54CF" w:rsidP="007B37EE">
      <w:pPr>
        <w:pStyle w:val="Pa6"/>
        <w:numPr>
          <w:ilvl w:val="0"/>
          <w:numId w:val="15"/>
        </w:numPr>
        <w:jc w:val="both"/>
        <w:rPr>
          <w:rFonts w:ascii="Nirmala UI" w:hAnsi="Nirmala UI" w:cs="Nirmala UI"/>
          <w:color w:val="000000" w:themeColor="text1"/>
          <w:sz w:val="22"/>
          <w:szCs w:val="22"/>
        </w:rPr>
      </w:pPr>
      <w:r w:rsidRPr="00943031">
        <w:rPr>
          <w:rFonts w:ascii="Nirmala UI" w:hAnsi="Nirmala UI" w:cs="Nirmala UI"/>
          <w:color w:val="000000" w:themeColor="text1"/>
          <w:sz w:val="22"/>
          <w:szCs w:val="22"/>
        </w:rPr>
        <w:t xml:space="preserve">El plazo </w:t>
      </w:r>
      <w:r w:rsidR="00CE42CA" w:rsidRPr="00943031">
        <w:rPr>
          <w:rFonts w:ascii="Nirmala UI" w:hAnsi="Nirmala UI" w:cs="Nirmala UI"/>
          <w:color w:val="000000" w:themeColor="text1"/>
          <w:sz w:val="22"/>
          <w:szCs w:val="22"/>
        </w:rPr>
        <w:t xml:space="preserve">total </w:t>
      </w:r>
      <w:r w:rsidRPr="00943031">
        <w:rPr>
          <w:rFonts w:ascii="Nirmala UI" w:hAnsi="Nirmala UI" w:cs="Nirmala UI"/>
          <w:color w:val="000000" w:themeColor="text1"/>
          <w:sz w:val="22"/>
          <w:szCs w:val="22"/>
        </w:rPr>
        <w:t xml:space="preserve">para la ejecución de las actuaciones </w:t>
      </w:r>
      <w:r w:rsidR="00CE42CA" w:rsidRPr="00943031">
        <w:rPr>
          <w:rFonts w:ascii="Nirmala UI" w:hAnsi="Nirmala UI" w:cs="Nirmala UI"/>
          <w:color w:val="000000" w:themeColor="text1"/>
          <w:sz w:val="22"/>
          <w:szCs w:val="22"/>
        </w:rPr>
        <w:t>con la aportación de la Secretaría de Estado de Turismo será de tres años, sin perjuicio de que la Comisión de Seguimiento supervise la ejecución de las actuaciones en cada una de las reuniones.</w:t>
      </w:r>
    </w:p>
    <w:p w14:paraId="246771F3" w14:textId="785698BA" w:rsidR="00160DDB" w:rsidRPr="00943031" w:rsidRDefault="00160DDB" w:rsidP="00CE42CA">
      <w:pPr>
        <w:pStyle w:val="Pa6"/>
        <w:ind w:left="360"/>
        <w:jc w:val="both"/>
        <w:rPr>
          <w:rFonts w:ascii="Nirmala UI" w:hAnsi="Nirmala UI" w:cs="Nirmala UI"/>
          <w:color w:val="000000" w:themeColor="text1"/>
          <w:sz w:val="22"/>
          <w:szCs w:val="22"/>
        </w:rPr>
      </w:pPr>
    </w:p>
    <w:p w14:paraId="3E5E78C6" w14:textId="63A9342F" w:rsidR="00FE53EC" w:rsidRPr="00365BDF" w:rsidRDefault="00BC54CF" w:rsidP="007B37EE">
      <w:pPr>
        <w:pStyle w:val="Prrafodelista"/>
        <w:numPr>
          <w:ilvl w:val="0"/>
          <w:numId w:val="15"/>
        </w:numPr>
        <w:autoSpaceDE w:val="0"/>
        <w:autoSpaceDN w:val="0"/>
        <w:adjustRightInd w:val="0"/>
        <w:spacing w:after="0" w:line="240" w:lineRule="auto"/>
        <w:jc w:val="both"/>
        <w:rPr>
          <w:rFonts w:ascii="Nirmala UI" w:hAnsi="Nirmala UI" w:cs="Nirmala UI"/>
          <w:color w:val="000000"/>
        </w:rPr>
      </w:pPr>
      <w:r w:rsidRPr="00365BDF">
        <w:rPr>
          <w:rFonts w:ascii="Nirmala UI" w:hAnsi="Nirmala UI" w:cs="Nirmala UI"/>
          <w:color w:val="000000"/>
        </w:rPr>
        <w:t>En el caso de</w:t>
      </w:r>
      <w:r w:rsidR="00DD0D2A" w:rsidRPr="00365BDF">
        <w:rPr>
          <w:rFonts w:ascii="Nirmala UI" w:hAnsi="Nirmala UI" w:cs="Nirmala UI"/>
          <w:color w:val="000000"/>
        </w:rPr>
        <w:t xml:space="preserve"> las aportaciones de la Comunidad Autónoma </w:t>
      </w:r>
      <w:r w:rsidR="00FE53EC" w:rsidRPr="00365BDF">
        <w:rPr>
          <w:rFonts w:ascii="Nirmala UI" w:hAnsi="Nirmala UI" w:cs="Nirmala UI"/>
          <w:color w:val="000000"/>
        </w:rPr>
        <w:t xml:space="preserve">se estará a lo previsto en la cláusula </w:t>
      </w:r>
      <w:r w:rsidR="00CE42CA">
        <w:rPr>
          <w:rFonts w:ascii="Nirmala UI" w:hAnsi="Nirmala UI" w:cs="Nirmala UI"/>
          <w:color w:val="000000"/>
        </w:rPr>
        <w:t>quinta</w:t>
      </w:r>
      <w:r w:rsidR="00FE53EC" w:rsidRPr="00365BDF">
        <w:rPr>
          <w:rFonts w:ascii="Nirmala UI" w:hAnsi="Nirmala UI" w:cs="Nirmala UI"/>
          <w:color w:val="000000"/>
        </w:rPr>
        <w:t xml:space="preserve"> del presente convenio.</w:t>
      </w:r>
    </w:p>
    <w:p w14:paraId="0BA300E1" w14:textId="77777777" w:rsidR="00160DDB" w:rsidRPr="00365BDF" w:rsidRDefault="00160DDB" w:rsidP="00BC54CF">
      <w:pPr>
        <w:autoSpaceDE w:val="0"/>
        <w:autoSpaceDN w:val="0"/>
        <w:adjustRightInd w:val="0"/>
        <w:spacing w:after="0" w:line="240" w:lineRule="auto"/>
        <w:jc w:val="both"/>
        <w:rPr>
          <w:rFonts w:ascii="Nirmala UI" w:hAnsi="Nirmala UI" w:cs="Nirmala UI"/>
          <w:color w:val="000000"/>
        </w:rPr>
      </w:pPr>
    </w:p>
    <w:p w14:paraId="494C0903" w14:textId="1AE89959" w:rsidR="00FE53EC" w:rsidRPr="00365BDF" w:rsidRDefault="00FE53EC" w:rsidP="007B37EE">
      <w:pPr>
        <w:pStyle w:val="Prrafodelista"/>
        <w:numPr>
          <w:ilvl w:val="0"/>
          <w:numId w:val="15"/>
        </w:numPr>
        <w:autoSpaceDE w:val="0"/>
        <w:autoSpaceDN w:val="0"/>
        <w:adjustRightInd w:val="0"/>
        <w:spacing w:after="0" w:line="240" w:lineRule="auto"/>
        <w:jc w:val="both"/>
        <w:rPr>
          <w:rFonts w:ascii="Nirmala UI" w:hAnsi="Nirmala UI" w:cs="Nirmala UI"/>
          <w:color w:val="000000"/>
        </w:rPr>
      </w:pPr>
      <w:r w:rsidRPr="00365BDF">
        <w:rPr>
          <w:rFonts w:ascii="Nirmala UI" w:hAnsi="Nirmala UI" w:cs="Nirmala UI"/>
          <w:color w:val="000000"/>
        </w:rPr>
        <w:t xml:space="preserve">Cuando concurran circunstancias que lo aconsejen, a </w:t>
      </w:r>
      <w:r w:rsidRPr="00944A63">
        <w:rPr>
          <w:rFonts w:ascii="Nirmala UI" w:hAnsi="Nirmala UI" w:cs="Nirmala UI"/>
        </w:rPr>
        <w:t xml:space="preserve">petición </w:t>
      </w:r>
      <w:r w:rsidR="00BD53B6" w:rsidRPr="00944A63">
        <w:rPr>
          <w:rFonts w:ascii="Nirmala UI" w:hAnsi="Nirmala UI" w:cs="Nirmala UI"/>
        </w:rPr>
        <w:t>del Cabildo de Gran Canaria</w:t>
      </w:r>
      <w:r w:rsidRPr="00944A63">
        <w:rPr>
          <w:rFonts w:ascii="Nirmala UI" w:hAnsi="Nirmala UI" w:cs="Nirmala UI"/>
        </w:rPr>
        <w:t>, la Comisión de Seguimiento podrá proponer la prór</w:t>
      </w:r>
      <w:r w:rsidRPr="00365BDF">
        <w:rPr>
          <w:rFonts w:ascii="Nirmala UI" w:hAnsi="Nirmala UI" w:cs="Nirmala UI"/>
          <w:color w:val="000000"/>
        </w:rPr>
        <w:t>roga de los plazos de ejecución y justificación de las anualidades por periodos de hasta doce meses, con una antelación mínima de dos meses antes de la expiración del plazo a prorrogar.</w:t>
      </w:r>
    </w:p>
    <w:p w14:paraId="75EF6039" w14:textId="4E575B12" w:rsidR="00DE3CD1" w:rsidRDefault="00DE3CD1" w:rsidP="00BC54CF">
      <w:pPr>
        <w:autoSpaceDE w:val="0"/>
        <w:autoSpaceDN w:val="0"/>
        <w:adjustRightInd w:val="0"/>
        <w:spacing w:after="0" w:line="240" w:lineRule="auto"/>
        <w:jc w:val="both"/>
        <w:rPr>
          <w:rFonts w:ascii="Nirmala UI" w:hAnsi="Nirmala UI" w:cs="Nirmala UI"/>
          <w:color w:val="000000"/>
        </w:rPr>
      </w:pPr>
    </w:p>
    <w:p w14:paraId="2B2D1333" w14:textId="77777777" w:rsidR="00F16802" w:rsidRDefault="00F16802" w:rsidP="00F16802">
      <w:pPr>
        <w:autoSpaceDE w:val="0"/>
        <w:autoSpaceDN w:val="0"/>
        <w:adjustRightInd w:val="0"/>
        <w:spacing w:after="0" w:line="240" w:lineRule="auto"/>
        <w:jc w:val="both"/>
        <w:rPr>
          <w:rFonts w:ascii="Nirmala UI" w:hAnsi="Nirmala UI" w:cs="Nirmala UI"/>
          <w:b/>
          <w:i/>
          <w:iCs/>
          <w:color w:val="000000"/>
        </w:rPr>
      </w:pPr>
      <w:r>
        <w:rPr>
          <w:rFonts w:ascii="Nirmala UI" w:hAnsi="Nirmala UI" w:cs="Nirmala UI"/>
          <w:b/>
          <w:color w:val="000000"/>
        </w:rPr>
        <w:t xml:space="preserve">Décima. </w:t>
      </w:r>
      <w:r>
        <w:rPr>
          <w:rFonts w:ascii="Nirmala UI" w:hAnsi="Nirmala UI" w:cs="Nirmala UI"/>
          <w:b/>
          <w:i/>
          <w:iCs/>
          <w:color w:val="000000"/>
        </w:rPr>
        <w:t>Responsabilidad patrimonial</w:t>
      </w:r>
    </w:p>
    <w:p w14:paraId="7B4663A4" w14:textId="44E4F373" w:rsidR="00F16802" w:rsidRDefault="00F16802" w:rsidP="00F16802">
      <w:pPr>
        <w:autoSpaceDE w:val="0"/>
        <w:autoSpaceDN w:val="0"/>
        <w:adjustRightInd w:val="0"/>
        <w:spacing w:after="0" w:line="240" w:lineRule="auto"/>
        <w:ind w:left="360"/>
        <w:jc w:val="both"/>
        <w:rPr>
          <w:rFonts w:ascii="Nirmala UI" w:hAnsi="Nirmala UI" w:cs="Nirmala UI"/>
          <w:color w:val="000000"/>
        </w:rPr>
      </w:pPr>
      <w:r>
        <w:rPr>
          <w:rFonts w:ascii="Nirmala UI" w:hAnsi="Nirmala UI" w:cs="Nirmala UI"/>
          <w:color w:val="000000"/>
        </w:rPr>
        <w:t>Si de la ejecución de las actuaciones derivadas del presente convenio se produjeran lesiones en los bienes y derechos de los particulares, la responsabilidad patrimonial a que en su caso dieren lugar será de la entidad ejecutante de las mismas.</w:t>
      </w:r>
    </w:p>
    <w:p w14:paraId="084D9FBA" w14:textId="77777777" w:rsidR="00F16802" w:rsidRPr="00365BDF" w:rsidRDefault="00F16802" w:rsidP="00BC54CF">
      <w:pPr>
        <w:autoSpaceDE w:val="0"/>
        <w:autoSpaceDN w:val="0"/>
        <w:adjustRightInd w:val="0"/>
        <w:spacing w:after="0" w:line="240" w:lineRule="auto"/>
        <w:jc w:val="both"/>
        <w:rPr>
          <w:rFonts w:ascii="Nirmala UI" w:hAnsi="Nirmala UI" w:cs="Nirmala UI"/>
          <w:color w:val="000000"/>
        </w:rPr>
      </w:pPr>
    </w:p>
    <w:p w14:paraId="2ACA91CD" w14:textId="4BDD0631" w:rsidR="00DE3CD1" w:rsidRPr="00365BDF" w:rsidRDefault="00DE3CD1" w:rsidP="00DE3CD1">
      <w:pPr>
        <w:autoSpaceDE w:val="0"/>
        <w:autoSpaceDN w:val="0"/>
        <w:adjustRightInd w:val="0"/>
        <w:spacing w:after="0" w:line="240" w:lineRule="auto"/>
        <w:jc w:val="both"/>
        <w:rPr>
          <w:rFonts w:ascii="Nirmala UI" w:hAnsi="Nirmala UI" w:cs="Nirmala UI"/>
          <w:color w:val="000000"/>
        </w:rPr>
      </w:pPr>
    </w:p>
    <w:p w14:paraId="38481CD8" w14:textId="20765B25" w:rsidR="00DE3CD1" w:rsidRPr="00365BDF" w:rsidRDefault="001432AD" w:rsidP="00DE3CD1">
      <w:pPr>
        <w:autoSpaceDE w:val="0"/>
        <w:autoSpaceDN w:val="0"/>
        <w:adjustRightInd w:val="0"/>
        <w:spacing w:after="0" w:line="240" w:lineRule="auto"/>
        <w:jc w:val="both"/>
        <w:rPr>
          <w:rFonts w:ascii="Nirmala UI" w:hAnsi="Nirmala UI" w:cs="Nirmala UI"/>
          <w:b/>
          <w:i/>
          <w:iCs/>
          <w:color w:val="000000"/>
        </w:rPr>
      </w:pPr>
      <w:r w:rsidRPr="00365BDF">
        <w:rPr>
          <w:rFonts w:ascii="Nirmala UI" w:hAnsi="Nirmala UI" w:cs="Nirmala UI"/>
          <w:b/>
          <w:color w:val="000000"/>
        </w:rPr>
        <w:t>Un</w:t>
      </w:r>
      <w:r w:rsidR="00DE3CD1" w:rsidRPr="00365BDF">
        <w:rPr>
          <w:rFonts w:ascii="Nirmala UI" w:hAnsi="Nirmala UI" w:cs="Nirmala UI"/>
          <w:b/>
          <w:color w:val="000000"/>
        </w:rPr>
        <w:t xml:space="preserve">décima. </w:t>
      </w:r>
      <w:r w:rsidR="00DE3CD1" w:rsidRPr="00943031">
        <w:rPr>
          <w:rFonts w:ascii="Nirmala UI" w:hAnsi="Nirmala UI" w:cs="Nirmala UI"/>
          <w:b/>
          <w:i/>
          <w:iCs/>
          <w:color w:val="000000"/>
        </w:rPr>
        <w:t>Publicidad</w:t>
      </w:r>
    </w:p>
    <w:p w14:paraId="4A32FD6A" w14:textId="68B3C749" w:rsidR="007B37EE" w:rsidRPr="00944A63" w:rsidRDefault="00DE3CD1" w:rsidP="007B37EE">
      <w:pPr>
        <w:pStyle w:val="Sinespaciado"/>
        <w:numPr>
          <w:ilvl w:val="0"/>
          <w:numId w:val="17"/>
        </w:numPr>
        <w:jc w:val="both"/>
        <w:rPr>
          <w:rFonts w:ascii="Nirmala UI" w:hAnsi="Nirmala UI" w:cs="Nirmala UI"/>
        </w:rPr>
      </w:pPr>
      <w:r w:rsidRPr="00365BDF">
        <w:rPr>
          <w:rFonts w:ascii="Nirmala UI" w:hAnsi="Nirmala UI" w:cs="Nirmala UI"/>
        </w:rPr>
        <w:t xml:space="preserve">Con el objeto de dotar de notoriedad y </w:t>
      </w:r>
      <w:r w:rsidRPr="00944A63">
        <w:rPr>
          <w:rFonts w:ascii="Nirmala UI" w:hAnsi="Nirmala UI" w:cs="Nirmala UI"/>
        </w:rPr>
        <w:t>visibilidad al Plan</w:t>
      </w:r>
      <w:r w:rsidR="00F7682C" w:rsidRPr="00944A63">
        <w:rPr>
          <w:rFonts w:ascii="Nirmala UI" w:hAnsi="Nirmala UI" w:cs="Nirmala UI"/>
        </w:rPr>
        <w:t xml:space="preserve"> </w:t>
      </w:r>
      <w:r w:rsidR="00BD53B6" w:rsidRPr="00944A63">
        <w:rPr>
          <w:rFonts w:ascii="Nirmala UI" w:hAnsi="Nirmala UI" w:cs="Nirmala UI"/>
        </w:rPr>
        <w:t xml:space="preserve">el Cabildo de Gran </w:t>
      </w:r>
      <w:r w:rsidR="00944A63">
        <w:rPr>
          <w:rFonts w:ascii="Nirmala UI" w:hAnsi="Nirmala UI" w:cs="Nirmala UI"/>
        </w:rPr>
        <w:t>Canaria</w:t>
      </w:r>
      <w:r w:rsidRPr="00944A63">
        <w:rPr>
          <w:rFonts w:ascii="Nirmala UI" w:hAnsi="Nirmala UI" w:cs="Nirmala UI"/>
        </w:rPr>
        <w:t xml:space="preserve"> realizará las siguientes actuaciones:</w:t>
      </w:r>
    </w:p>
    <w:p w14:paraId="2BED0820" w14:textId="77777777" w:rsidR="007B37EE" w:rsidRPr="00365BDF" w:rsidRDefault="007B37EE" w:rsidP="007B37EE">
      <w:pPr>
        <w:pStyle w:val="Sinespaciado"/>
        <w:jc w:val="both"/>
        <w:rPr>
          <w:rFonts w:ascii="Nirmala UI" w:hAnsi="Nirmala UI" w:cs="Nirmala UI"/>
        </w:rPr>
      </w:pPr>
    </w:p>
    <w:p w14:paraId="03760CFC" w14:textId="1E16C8EF" w:rsidR="00DE3CD1" w:rsidRPr="00365BDF" w:rsidRDefault="00A37411" w:rsidP="00A37411">
      <w:pPr>
        <w:pStyle w:val="Sinespaciado"/>
        <w:spacing w:line="276" w:lineRule="auto"/>
        <w:ind w:left="340"/>
        <w:jc w:val="both"/>
        <w:rPr>
          <w:rFonts w:ascii="Nirmala UI" w:hAnsi="Nirmala UI" w:cs="Nirmala UI"/>
        </w:rPr>
      </w:pPr>
      <w:r w:rsidRPr="00365BDF">
        <w:rPr>
          <w:rFonts w:ascii="Nirmala UI" w:hAnsi="Nirmala UI" w:cs="Nirmala UI"/>
        </w:rPr>
        <w:t>a) Actuaciones de difusión online en las</w:t>
      </w:r>
      <w:r w:rsidR="00FB4BC6" w:rsidRPr="00365BDF">
        <w:rPr>
          <w:rFonts w:ascii="Nirmala UI" w:hAnsi="Nirmala UI" w:cs="Nirmala UI"/>
        </w:rPr>
        <w:t xml:space="preserve"> redes sociales </w:t>
      </w:r>
      <w:r w:rsidRPr="00365BDF">
        <w:rPr>
          <w:rFonts w:ascii="Nirmala UI" w:hAnsi="Nirmala UI" w:cs="Nirmala UI"/>
        </w:rPr>
        <w:t xml:space="preserve">y páginas web </w:t>
      </w:r>
      <w:r w:rsidR="00FB4BC6" w:rsidRPr="00365BDF">
        <w:rPr>
          <w:rFonts w:ascii="Nirmala UI" w:hAnsi="Nirmala UI" w:cs="Nirmala UI"/>
        </w:rPr>
        <w:t>oficiales</w:t>
      </w:r>
      <w:r w:rsidR="00DE3CD1" w:rsidRPr="00365BDF">
        <w:rPr>
          <w:rFonts w:ascii="Nirmala UI" w:hAnsi="Nirmala UI" w:cs="Nirmala UI"/>
        </w:rPr>
        <w:t xml:space="preserve">, </w:t>
      </w:r>
      <w:r w:rsidRPr="00365BDF">
        <w:rPr>
          <w:rFonts w:ascii="Nirmala UI" w:hAnsi="Nirmala UI" w:cs="Nirmala UI"/>
        </w:rPr>
        <w:t xml:space="preserve">describiendo la zona objeto del presente Plan y las actuaciones a acometer, </w:t>
      </w:r>
      <w:r w:rsidR="00DE3CD1" w:rsidRPr="00365BDF">
        <w:rPr>
          <w:rFonts w:ascii="Nirmala UI" w:hAnsi="Nirmala UI" w:cs="Nirmala UI"/>
        </w:rPr>
        <w:t xml:space="preserve">para </w:t>
      </w:r>
      <w:r w:rsidRPr="00365BDF">
        <w:rPr>
          <w:rFonts w:ascii="Nirmala UI" w:hAnsi="Nirmala UI" w:cs="Nirmala UI"/>
        </w:rPr>
        <w:t>darlas a conocer entre residentes y turistas.</w:t>
      </w:r>
    </w:p>
    <w:p w14:paraId="2C46783E" w14:textId="5AF93093" w:rsidR="00A37411" w:rsidRPr="00781187" w:rsidRDefault="00DE3CD1" w:rsidP="00A37411">
      <w:pPr>
        <w:pStyle w:val="Pa6"/>
        <w:spacing w:line="276" w:lineRule="auto"/>
        <w:ind w:left="340"/>
        <w:jc w:val="both"/>
        <w:rPr>
          <w:rFonts w:ascii="Nirmala UI" w:hAnsi="Nirmala UI" w:cs="Nirmala UI"/>
          <w:sz w:val="22"/>
          <w:szCs w:val="22"/>
        </w:rPr>
      </w:pPr>
      <w:r w:rsidRPr="00365BDF">
        <w:rPr>
          <w:rFonts w:ascii="Nirmala UI" w:hAnsi="Nirmala UI" w:cs="Nirmala UI"/>
          <w:color w:val="000000"/>
          <w:sz w:val="22"/>
          <w:szCs w:val="22"/>
        </w:rPr>
        <w:t xml:space="preserve">b) Sesión </w:t>
      </w:r>
      <w:r w:rsidRPr="00781187">
        <w:rPr>
          <w:rFonts w:ascii="Nirmala UI" w:hAnsi="Nirmala UI" w:cs="Nirmala UI"/>
          <w:sz w:val="22"/>
          <w:szCs w:val="22"/>
        </w:rPr>
        <w:t>informativa, mediante un acto público, dirigido al empresariado, medios de comunicación y población en general, para informar de los objetivos y actuaciones del Plan de Sostenibilidad Turística.</w:t>
      </w:r>
    </w:p>
    <w:p w14:paraId="5B3C5657" w14:textId="734D977D" w:rsidR="00DE3CD1" w:rsidRPr="00781187" w:rsidRDefault="00A37411" w:rsidP="007B37EE">
      <w:pPr>
        <w:autoSpaceDE w:val="0"/>
        <w:autoSpaceDN w:val="0"/>
        <w:adjustRightInd w:val="0"/>
        <w:spacing w:after="0" w:line="240" w:lineRule="auto"/>
        <w:ind w:left="340"/>
        <w:jc w:val="both"/>
        <w:rPr>
          <w:rFonts w:ascii="Nirmala UI" w:hAnsi="Nirmala UI" w:cs="Nirmala UI"/>
        </w:rPr>
      </w:pPr>
      <w:r w:rsidRPr="00781187">
        <w:rPr>
          <w:rFonts w:ascii="Nirmala UI" w:hAnsi="Nirmala UI" w:cs="Nirmala UI"/>
        </w:rPr>
        <w:t xml:space="preserve">En todas las publicaciones </w:t>
      </w:r>
      <w:r w:rsidR="00DE3CD1" w:rsidRPr="00781187">
        <w:rPr>
          <w:rFonts w:ascii="Nirmala UI" w:hAnsi="Nirmala UI" w:cs="Nirmala UI"/>
        </w:rPr>
        <w:t>a que se refiere la presente cláusula, financiadas en todo o en parte con el presupuesto del Plan, se incluirá la leyenda «</w:t>
      </w:r>
      <w:r w:rsidR="000C6023" w:rsidRPr="00781187">
        <w:t xml:space="preserve"> </w:t>
      </w:r>
      <w:r w:rsidR="000C6023" w:rsidRPr="00781187">
        <w:rPr>
          <w:rFonts w:ascii="Nirmala UI" w:hAnsi="Nirmala UI" w:cs="Nirmala UI"/>
        </w:rPr>
        <w:t>Plan de</w:t>
      </w:r>
      <w:r w:rsidR="00F16802" w:rsidRPr="00781187">
        <w:rPr>
          <w:rFonts w:ascii="Nirmala UI" w:hAnsi="Nirmala UI" w:cs="Nirmala UI"/>
        </w:rPr>
        <w:t xml:space="preserve"> Sostenibilidad Turística de</w:t>
      </w:r>
      <w:r w:rsidR="000C6023" w:rsidRPr="00781187">
        <w:rPr>
          <w:rFonts w:ascii="Nirmala UI" w:hAnsi="Nirmala UI" w:cs="Nirmala UI"/>
        </w:rPr>
        <w:t xml:space="preserve"> Patrimonio Mundial y Reserva de la Biosfera de Gran Canaria</w:t>
      </w:r>
      <w:r w:rsidR="00F16802" w:rsidRPr="00781187">
        <w:rPr>
          <w:rFonts w:ascii="Nirmala UI" w:hAnsi="Nirmala UI" w:cs="Nirmala UI"/>
        </w:rPr>
        <w:t xml:space="preserve"> »</w:t>
      </w:r>
      <w:r w:rsidR="00DE3CD1" w:rsidRPr="00781187">
        <w:rPr>
          <w:rFonts w:ascii="Nirmala UI" w:hAnsi="Nirmala UI" w:cs="Nirmala UI"/>
        </w:rPr>
        <w:t xml:space="preserve"> así como la imagen institucional de todos los firmantes del convenio.</w:t>
      </w:r>
    </w:p>
    <w:p w14:paraId="34C92ABD" w14:textId="77777777" w:rsidR="00DE3CD1" w:rsidRPr="00781187" w:rsidRDefault="00DE3CD1" w:rsidP="00DE3CD1">
      <w:pPr>
        <w:autoSpaceDE w:val="0"/>
        <w:autoSpaceDN w:val="0"/>
        <w:adjustRightInd w:val="0"/>
        <w:spacing w:after="0" w:line="240" w:lineRule="auto"/>
        <w:jc w:val="both"/>
        <w:rPr>
          <w:rFonts w:ascii="Nirmala UI" w:hAnsi="Nirmala UI" w:cs="Nirmala UI"/>
        </w:rPr>
      </w:pPr>
    </w:p>
    <w:p w14:paraId="2479540D" w14:textId="50FE99C5" w:rsidR="00DE3CD1" w:rsidRPr="00781187" w:rsidRDefault="00DE3CD1" w:rsidP="007B37EE">
      <w:pPr>
        <w:pStyle w:val="Prrafodelista"/>
        <w:numPr>
          <w:ilvl w:val="0"/>
          <w:numId w:val="17"/>
        </w:numPr>
        <w:autoSpaceDE w:val="0"/>
        <w:autoSpaceDN w:val="0"/>
        <w:adjustRightInd w:val="0"/>
        <w:spacing w:after="0" w:line="240" w:lineRule="auto"/>
        <w:jc w:val="both"/>
        <w:rPr>
          <w:rFonts w:ascii="Nirmala UI" w:hAnsi="Nirmala UI" w:cs="Nirmala UI"/>
        </w:rPr>
      </w:pPr>
      <w:r w:rsidRPr="00781187">
        <w:rPr>
          <w:rFonts w:ascii="Nirmala UI" w:hAnsi="Nirmala UI" w:cs="Nirmala UI"/>
        </w:rPr>
        <w:t>En el caso de tratarse de regiones elegibles con arreglo a los objetivos de la política de cohesión comunitaria (2014-2020), además de lo señalado en el párrafo anterior, se incluirá el logotipo del FEDER conforme dispone el artículos 115, así como el Anexo XII del Reglamento U(E)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1083/2006 del Consejo.</w:t>
      </w:r>
    </w:p>
    <w:p w14:paraId="5D9A43D3" w14:textId="77777777" w:rsidR="00DE3CD1" w:rsidRPr="00781187" w:rsidRDefault="00DE3CD1" w:rsidP="00DE3CD1">
      <w:pPr>
        <w:autoSpaceDE w:val="0"/>
        <w:autoSpaceDN w:val="0"/>
        <w:adjustRightInd w:val="0"/>
        <w:spacing w:after="0" w:line="240" w:lineRule="auto"/>
        <w:jc w:val="both"/>
        <w:rPr>
          <w:rFonts w:ascii="Nirmala UI" w:hAnsi="Nirmala UI" w:cs="Nirmala UI"/>
        </w:rPr>
      </w:pPr>
    </w:p>
    <w:p w14:paraId="43761AB7" w14:textId="4AA3EE21" w:rsidR="0087194C" w:rsidRPr="00781187" w:rsidRDefault="00DE3CD1" w:rsidP="0087194C">
      <w:pPr>
        <w:pStyle w:val="Prrafodelista"/>
        <w:numPr>
          <w:ilvl w:val="0"/>
          <w:numId w:val="17"/>
        </w:numPr>
        <w:autoSpaceDE w:val="0"/>
        <w:autoSpaceDN w:val="0"/>
        <w:adjustRightInd w:val="0"/>
        <w:spacing w:after="0" w:line="240" w:lineRule="auto"/>
        <w:jc w:val="both"/>
        <w:rPr>
          <w:rFonts w:ascii="Nirmala UI" w:hAnsi="Nirmala UI" w:cs="Nirmala UI"/>
          <w:b/>
          <w:i/>
          <w:iCs/>
        </w:rPr>
      </w:pPr>
      <w:r w:rsidRPr="00781187">
        <w:rPr>
          <w:rFonts w:ascii="Nirmala UI" w:hAnsi="Nirmala UI" w:cs="Nirmala UI"/>
        </w:rPr>
        <w:t xml:space="preserve">Las entidades firmantes del presente convenio se comprometen a dar su consentimiento para la publicación de las </w:t>
      </w:r>
      <w:r w:rsidR="00F7682C" w:rsidRPr="00781187">
        <w:rPr>
          <w:rFonts w:ascii="Nirmala UI" w:hAnsi="Nirmala UI" w:cs="Nirmala UI"/>
        </w:rPr>
        <w:t>aportaciones</w:t>
      </w:r>
      <w:r w:rsidRPr="00781187">
        <w:rPr>
          <w:rFonts w:ascii="Nirmala UI" w:hAnsi="Nirmala UI" w:cs="Nirmala UI"/>
        </w:rPr>
        <w:t xml:space="preserve"> de acuerdo con lo establecido en el artículo 8 de la Ley 19/2013, de 9 de diciembre, de transparencia, acceso a la información pública y buen gobierno y en </w:t>
      </w:r>
      <w:r w:rsidR="00F16802" w:rsidRPr="00781187">
        <w:rPr>
          <w:rFonts w:ascii="Nirmala UI" w:hAnsi="Nirmala UI" w:cs="Nirmala UI"/>
        </w:rPr>
        <w:t>el artículo 29 de la Ley 12/2014, de 26 de diciembre, de transparencia y de acceso a la información de la Comunidad Autónoma de Canarias, y en el Capítulo III del Decreto 11/2019, de 11 de febrero, por el que se regula la actividad convencional y se crean y regulan el registro General Electrónico de Convenios del Sector Público de la CAC y el Registro Electrónico de Órganos de Cooperación de la Administración Pública de la Comunidad Autónoma de Canarias.</w:t>
      </w:r>
    </w:p>
    <w:p w14:paraId="3F77E0CB" w14:textId="77777777" w:rsidR="0087194C" w:rsidRPr="00781187" w:rsidRDefault="0087194C" w:rsidP="0087194C">
      <w:pPr>
        <w:pStyle w:val="Prrafodelista"/>
        <w:rPr>
          <w:rFonts w:ascii="Nirmala UI" w:hAnsi="Nirmala UI" w:cs="Nirmala UI"/>
          <w:b/>
        </w:rPr>
      </w:pPr>
    </w:p>
    <w:p w14:paraId="515CC9D6" w14:textId="0321D1B1" w:rsidR="00FE53EC" w:rsidRPr="00781187" w:rsidRDefault="00FE53EC" w:rsidP="00781187">
      <w:pPr>
        <w:autoSpaceDE w:val="0"/>
        <w:autoSpaceDN w:val="0"/>
        <w:adjustRightInd w:val="0"/>
        <w:spacing w:after="0" w:line="240" w:lineRule="auto"/>
        <w:jc w:val="both"/>
        <w:rPr>
          <w:rFonts w:ascii="Nirmala UI" w:hAnsi="Nirmala UI" w:cs="Nirmala UI"/>
          <w:b/>
          <w:i/>
          <w:iCs/>
        </w:rPr>
      </w:pPr>
      <w:r w:rsidRPr="00781187">
        <w:rPr>
          <w:rFonts w:ascii="Nirmala UI" w:hAnsi="Nirmala UI" w:cs="Nirmala UI"/>
          <w:b/>
        </w:rPr>
        <w:t>D</w:t>
      </w:r>
      <w:r w:rsidR="001432AD" w:rsidRPr="00781187">
        <w:rPr>
          <w:rFonts w:ascii="Nirmala UI" w:hAnsi="Nirmala UI" w:cs="Nirmala UI"/>
          <w:b/>
        </w:rPr>
        <w:t>uodécima</w:t>
      </w:r>
      <w:r w:rsidRPr="00781187">
        <w:rPr>
          <w:rFonts w:ascii="Nirmala UI" w:hAnsi="Nirmala UI" w:cs="Nirmala UI"/>
          <w:b/>
        </w:rPr>
        <w:t xml:space="preserve">. </w:t>
      </w:r>
      <w:r w:rsidRPr="00781187">
        <w:rPr>
          <w:rFonts w:ascii="Nirmala UI" w:hAnsi="Nirmala UI" w:cs="Nirmala UI"/>
          <w:b/>
          <w:i/>
          <w:iCs/>
        </w:rPr>
        <w:t>Reintegro</w:t>
      </w:r>
    </w:p>
    <w:p w14:paraId="75C58C18" w14:textId="220D47F8" w:rsidR="00DD0D2A" w:rsidRPr="00943031" w:rsidRDefault="00FE53EC" w:rsidP="00FB1C92">
      <w:pPr>
        <w:pStyle w:val="Pa6"/>
        <w:numPr>
          <w:ilvl w:val="0"/>
          <w:numId w:val="18"/>
        </w:numPr>
        <w:jc w:val="both"/>
        <w:rPr>
          <w:rFonts w:ascii="Nirmala UI" w:hAnsi="Nirmala UI" w:cs="Nirmala UI"/>
          <w:color w:val="000000"/>
          <w:sz w:val="22"/>
          <w:szCs w:val="22"/>
        </w:rPr>
      </w:pPr>
      <w:r w:rsidRPr="00781187">
        <w:rPr>
          <w:rFonts w:ascii="Nirmala UI" w:hAnsi="Nirmala UI" w:cs="Nirmala UI"/>
          <w:sz w:val="22"/>
          <w:szCs w:val="22"/>
        </w:rPr>
        <w:t xml:space="preserve">Procederá el reintegro de las cantidades percibidas y la exigencia del interés de demora correspondiente, desde el momento del pago de la aportación hasta </w:t>
      </w:r>
      <w:r w:rsidR="00DD0D2A" w:rsidRPr="00781187">
        <w:rPr>
          <w:rFonts w:ascii="Nirmala UI" w:hAnsi="Nirmala UI" w:cs="Nirmala UI"/>
          <w:sz w:val="22"/>
          <w:szCs w:val="22"/>
        </w:rPr>
        <w:t xml:space="preserve">la fecha </w:t>
      </w:r>
      <w:r w:rsidRPr="00781187">
        <w:rPr>
          <w:rFonts w:ascii="Nirmala UI" w:hAnsi="Nirmala UI" w:cs="Nirmala UI"/>
          <w:sz w:val="22"/>
          <w:szCs w:val="22"/>
        </w:rPr>
        <w:t xml:space="preserve">en que se acuerde </w:t>
      </w:r>
      <w:r w:rsidR="00DD0D2A" w:rsidRPr="00781187">
        <w:rPr>
          <w:rFonts w:ascii="Nirmala UI" w:hAnsi="Nirmala UI" w:cs="Nirmala UI"/>
          <w:sz w:val="22"/>
          <w:szCs w:val="22"/>
        </w:rPr>
        <w:t>la procedencia d</w:t>
      </w:r>
      <w:r w:rsidRPr="00781187">
        <w:rPr>
          <w:rFonts w:ascii="Nirmala UI" w:hAnsi="Nirmala UI" w:cs="Nirmala UI"/>
          <w:sz w:val="22"/>
          <w:szCs w:val="22"/>
        </w:rPr>
        <w:t>el reintegro</w:t>
      </w:r>
      <w:r w:rsidR="00E8455D" w:rsidRPr="00781187">
        <w:rPr>
          <w:rFonts w:ascii="Nirmala UI" w:hAnsi="Nirmala UI" w:cs="Nirmala UI"/>
          <w:sz w:val="22"/>
          <w:szCs w:val="22"/>
        </w:rPr>
        <w:t xml:space="preserve">, o la fecha en </w:t>
      </w:r>
      <w:r w:rsidR="008D734E" w:rsidRPr="00781187">
        <w:rPr>
          <w:rFonts w:ascii="Nirmala UI" w:hAnsi="Nirmala UI" w:cs="Nirmala UI"/>
          <w:sz w:val="22"/>
          <w:szCs w:val="22"/>
        </w:rPr>
        <w:t xml:space="preserve">la </w:t>
      </w:r>
      <w:r w:rsidR="00E8455D" w:rsidRPr="00781187">
        <w:rPr>
          <w:rFonts w:ascii="Nirmala UI" w:hAnsi="Nirmala UI" w:cs="Nirmala UI"/>
          <w:sz w:val="22"/>
          <w:szCs w:val="22"/>
        </w:rPr>
        <w:t xml:space="preserve">que el deudor ingrese el importe del reintegro si es anterior, cuando la entidad local ejecutante incumpliere, total o parcialmente, la obligación de aplicación de las aportaciones o la realización de la actividad </w:t>
      </w:r>
      <w:r w:rsidR="00E8455D" w:rsidRPr="00943031">
        <w:rPr>
          <w:rFonts w:ascii="Nirmala UI" w:hAnsi="Nirmala UI" w:cs="Nirmala UI"/>
          <w:color w:val="000000"/>
          <w:sz w:val="22"/>
          <w:szCs w:val="22"/>
        </w:rPr>
        <w:t>o proyecto objeto del convenio, así como en los casos de incumplimiento por dicha entidad de la obligación de justificación de las inversiones o su justificación insuficiente. También procederá el reintegro en el supuesto de incumplimiento por la entidad ejecutante de la obligación de mantenimiento de los inmuebles o instalaciones, en los términos previstos en este convenio.</w:t>
      </w:r>
    </w:p>
    <w:p w14:paraId="5A564E9F" w14:textId="77777777" w:rsidR="00E8455D" w:rsidRPr="00E8455D" w:rsidRDefault="00E8455D" w:rsidP="00E8455D">
      <w:pPr>
        <w:pStyle w:val="Default"/>
      </w:pPr>
    </w:p>
    <w:p w14:paraId="7E89D651" w14:textId="3CE23DAD" w:rsidR="00FE53EC" w:rsidRPr="00365BDF" w:rsidRDefault="00FE53EC" w:rsidP="007B37EE">
      <w:pPr>
        <w:pStyle w:val="Pa6"/>
        <w:numPr>
          <w:ilvl w:val="0"/>
          <w:numId w:val="18"/>
        </w:numPr>
        <w:jc w:val="both"/>
        <w:rPr>
          <w:rFonts w:ascii="Nirmala UI" w:hAnsi="Nirmala UI" w:cs="Nirmala UI"/>
          <w:color w:val="000000"/>
          <w:sz w:val="22"/>
          <w:szCs w:val="22"/>
        </w:rPr>
      </w:pPr>
      <w:r w:rsidRPr="00365BDF">
        <w:rPr>
          <w:rFonts w:ascii="Nirmala UI" w:hAnsi="Nirmala UI" w:cs="Nirmala UI"/>
          <w:color w:val="000000"/>
          <w:sz w:val="22"/>
          <w:szCs w:val="22"/>
        </w:rPr>
        <w:t>En el supuesto de incumplimiento parcial, la fijación de la cantidad que debe ser reintegrada se determinará en aplicación del principio de proporcionalidad y teniendo en cuenta el hecho de que el citado incumplimiento se aproxime significativamente al cumplimiento total y se acredite por una actuación inequívocamente tendente a la satisfacción de sus compromisos.</w:t>
      </w:r>
    </w:p>
    <w:p w14:paraId="2747A136" w14:textId="77777777" w:rsidR="00DD0D2A" w:rsidRPr="00365BDF" w:rsidRDefault="00DD0D2A" w:rsidP="00DD0D2A">
      <w:pPr>
        <w:pStyle w:val="Default"/>
        <w:rPr>
          <w:rFonts w:ascii="Nirmala UI" w:hAnsi="Nirmala UI" w:cs="Nirmala UI"/>
          <w:sz w:val="22"/>
          <w:szCs w:val="22"/>
        </w:rPr>
      </w:pPr>
    </w:p>
    <w:p w14:paraId="08EFCB74" w14:textId="5DC3EC48" w:rsidR="00FE53EC" w:rsidRPr="00365BDF" w:rsidRDefault="00FE53EC" w:rsidP="007B37EE">
      <w:pPr>
        <w:pStyle w:val="Prrafodelista"/>
        <w:numPr>
          <w:ilvl w:val="0"/>
          <w:numId w:val="18"/>
        </w:numPr>
        <w:autoSpaceDE w:val="0"/>
        <w:autoSpaceDN w:val="0"/>
        <w:adjustRightInd w:val="0"/>
        <w:spacing w:after="0" w:line="240" w:lineRule="auto"/>
        <w:jc w:val="both"/>
        <w:rPr>
          <w:rFonts w:ascii="Nirmala UI" w:hAnsi="Nirmala UI" w:cs="Nirmala UI"/>
          <w:color w:val="000000"/>
        </w:rPr>
      </w:pPr>
      <w:r w:rsidRPr="00365BDF">
        <w:rPr>
          <w:rFonts w:ascii="Nirmala UI" w:hAnsi="Nirmala UI" w:cs="Nirmala UI"/>
          <w:color w:val="000000"/>
        </w:rPr>
        <w:t>El</w:t>
      </w:r>
      <w:r w:rsidR="00E8455D">
        <w:rPr>
          <w:rFonts w:ascii="Nirmala UI" w:hAnsi="Nirmala UI" w:cs="Nirmala UI"/>
          <w:color w:val="000000"/>
        </w:rPr>
        <w:t xml:space="preserve"> procedimiento de reintegro se </w:t>
      </w:r>
      <w:r w:rsidR="00E8455D" w:rsidRPr="00943031">
        <w:rPr>
          <w:rFonts w:ascii="Nirmala UI" w:hAnsi="Nirmala UI" w:cs="Nirmala UI"/>
          <w:color w:val="000000"/>
        </w:rPr>
        <w:t>iniciará mediante resolución de la Secretaría de Estado de Turismo o, en su caso, del órgano competente de la Comunidad Autónoma, motivando la causa determinante del reintegro, las obligaciones incumplidas y su cuantía. De dicha resolución se dará traslado a la entidad local ejecutante de las actuaciones para que, en el plazo de quince días, pueda efectuar las alegaciones y presentar las pruebas que considere convenientes a su derecho. El plazo máximo para adoptar y comunicar la resolución de reintegro será de seis meses, contados desde el siguiente al día de inicio oficial del procedimiento. La resolución de reintegro conte</w:t>
      </w:r>
      <w:r w:rsidR="008D734E" w:rsidRPr="00943031">
        <w:rPr>
          <w:rFonts w:ascii="Nirmala UI" w:hAnsi="Nirmala UI" w:cs="Nirmala UI"/>
          <w:color w:val="000000"/>
        </w:rPr>
        <w:t>n</w:t>
      </w:r>
      <w:r w:rsidR="00E8455D" w:rsidRPr="00943031">
        <w:rPr>
          <w:rFonts w:ascii="Nirmala UI" w:hAnsi="Nirmala UI" w:cs="Nirmala UI"/>
          <w:color w:val="000000"/>
        </w:rPr>
        <w:t>drá la identificación del ente local incumplidor, la causa determinante del reintegro y cuantía del mismo con sus intereses legales.</w:t>
      </w:r>
      <w:r w:rsidR="00E8455D">
        <w:rPr>
          <w:rFonts w:ascii="Nirmala UI" w:hAnsi="Nirmala UI" w:cs="Nirmala UI"/>
          <w:b/>
          <w:color w:val="FF0066"/>
        </w:rPr>
        <w:t xml:space="preserve">  </w:t>
      </w:r>
    </w:p>
    <w:p w14:paraId="14E0F9A7" w14:textId="6F5A6457" w:rsidR="00D33393" w:rsidRPr="00365BDF" w:rsidRDefault="00D33393" w:rsidP="00FC46B6">
      <w:pPr>
        <w:autoSpaceDE w:val="0"/>
        <w:autoSpaceDN w:val="0"/>
        <w:adjustRightInd w:val="0"/>
        <w:spacing w:after="0" w:line="240" w:lineRule="auto"/>
        <w:jc w:val="both"/>
        <w:rPr>
          <w:rFonts w:ascii="Nirmala UI" w:hAnsi="Nirmala UI" w:cs="Nirmala UI"/>
          <w:color w:val="000000"/>
        </w:rPr>
      </w:pPr>
    </w:p>
    <w:p w14:paraId="476A96BF" w14:textId="31E4EE78" w:rsidR="00DE3CD1" w:rsidRPr="00365BDF" w:rsidRDefault="00DE3CD1" w:rsidP="00DE3CD1">
      <w:pPr>
        <w:pStyle w:val="Pa6"/>
        <w:jc w:val="both"/>
        <w:rPr>
          <w:rFonts w:ascii="Nirmala UI" w:hAnsi="Nirmala UI" w:cs="Nirmala UI"/>
          <w:b/>
          <w:i/>
          <w:iCs/>
          <w:color w:val="000000"/>
          <w:sz w:val="22"/>
          <w:szCs w:val="22"/>
        </w:rPr>
      </w:pPr>
      <w:r w:rsidRPr="00365BDF">
        <w:rPr>
          <w:rFonts w:ascii="Nirmala UI" w:hAnsi="Nirmala UI" w:cs="Nirmala UI"/>
          <w:b/>
          <w:color w:val="000000"/>
          <w:sz w:val="22"/>
          <w:szCs w:val="22"/>
        </w:rPr>
        <w:t>Decimo</w:t>
      </w:r>
      <w:r w:rsidR="001432AD" w:rsidRPr="00365BDF">
        <w:rPr>
          <w:rFonts w:ascii="Nirmala UI" w:hAnsi="Nirmala UI" w:cs="Nirmala UI"/>
          <w:b/>
          <w:color w:val="000000"/>
          <w:sz w:val="22"/>
          <w:szCs w:val="22"/>
        </w:rPr>
        <w:t>tercera</w:t>
      </w:r>
      <w:r w:rsidRPr="00365BDF">
        <w:rPr>
          <w:rFonts w:ascii="Nirmala UI" w:hAnsi="Nirmala UI" w:cs="Nirmala UI"/>
          <w:b/>
          <w:color w:val="000000"/>
          <w:sz w:val="22"/>
          <w:szCs w:val="22"/>
        </w:rPr>
        <w:t xml:space="preserve">. </w:t>
      </w:r>
      <w:r w:rsidR="00AA75B6">
        <w:rPr>
          <w:rFonts w:ascii="Nirmala UI" w:hAnsi="Nirmala UI" w:cs="Nirmala UI"/>
          <w:b/>
          <w:i/>
          <w:iCs/>
          <w:color w:val="000000"/>
          <w:sz w:val="22"/>
          <w:szCs w:val="22"/>
        </w:rPr>
        <w:t xml:space="preserve">Resolución </w:t>
      </w:r>
      <w:r w:rsidR="00AA75B6" w:rsidRPr="00943031">
        <w:rPr>
          <w:rFonts w:ascii="Nirmala UI" w:hAnsi="Nirmala UI" w:cs="Nirmala UI"/>
          <w:b/>
          <w:i/>
          <w:iCs/>
          <w:color w:val="000000"/>
          <w:sz w:val="22"/>
          <w:szCs w:val="22"/>
        </w:rPr>
        <w:t xml:space="preserve">y </w:t>
      </w:r>
      <w:r w:rsidRPr="00365BDF">
        <w:rPr>
          <w:rFonts w:ascii="Nirmala UI" w:hAnsi="Nirmala UI" w:cs="Nirmala UI"/>
          <w:b/>
          <w:i/>
          <w:iCs/>
          <w:color w:val="000000"/>
          <w:sz w:val="22"/>
          <w:szCs w:val="22"/>
        </w:rPr>
        <w:t xml:space="preserve">modificación </w:t>
      </w:r>
    </w:p>
    <w:p w14:paraId="5F260250" w14:textId="579098E5" w:rsidR="00DE3CD1" w:rsidRPr="00365BDF" w:rsidRDefault="00DE3CD1" w:rsidP="007B37EE">
      <w:pPr>
        <w:pStyle w:val="Pa6"/>
        <w:numPr>
          <w:ilvl w:val="0"/>
          <w:numId w:val="19"/>
        </w:numPr>
        <w:jc w:val="both"/>
        <w:rPr>
          <w:rFonts w:ascii="Nirmala UI" w:hAnsi="Nirmala UI" w:cs="Nirmala UI"/>
          <w:color w:val="000000"/>
          <w:sz w:val="22"/>
          <w:szCs w:val="22"/>
        </w:rPr>
      </w:pPr>
      <w:r w:rsidRPr="00365BDF">
        <w:rPr>
          <w:rFonts w:ascii="Nirmala UI" w:hAnsi="Nirmala UI" w:cs="Nirmala UI"/>
          <w:color w:val="000000"/>
          <w:sz w:val="22"/>
          <w:szCs w:val="22"/>
        </w:rPr>
        <w:t>Serán causa de extinción las previstas en el artículo 51 LRJSP y motivo de resolución de este convenio el incumplimiento, por parte de cualesquiera de las partes intervinientes, de las obligaciones esenciales contenidas en sus cláusulas. La resolución tendrá como efecto la devolución a las partes, a cargo de la parte incumplidora, de los fondos aportados y no justificados hasta el momento de su efectividad.</w:t>
      </w:r>
    </w:p>
    <w:p w14:paraId="614676F6" w14:textId="77777777" w:rsidR="007B37EE" w:rsidRPr="00365BDF" w:rsidRDefault="007B37EE" w:rsidP="007B37EE">
      <w:pPr>
        <w:pStyle w:val="Default"/>
        <w:rPr>
          <w:rFonts w:ascii="Nirmala UI" w:hAnsi="Nirmala UI" w:cs="Nirmala UI"/>
          <w:sz w:val="22"/>
          <w:szCs w:val="22"/>
        </w:rPr>
      </w:pPr>
    </w:p>
    <w:p w14:paraId="0C598A33" w14:textId="5AB44152" w:rsidR="001432AD" w:rsidRDefault="00943031" w:rsidP="00943031">
      <w:pPr>
        <w:pStyle w:val="Pa6"/>
        <w:numPr>
          <w:ilvl w:val="0"/>
          <w:numId w:val="19"/>
        </w:numPr>
        <w:jc w:val="both"/>
        <w:rPr>
          <w:rFonts w:ascii="Nirmala UI" w:hAnsi="Nirmala UI" w:cs="Nirmala UI"/>
          <w:color w:val="000000" w:themeColor="text1"/>
          <w:sz w:val="22"/>
          <w:szCs w:val="22"/>
        </w:rPr>
      </w:pPr>
      <w:r>
        <w:rPr>
          <w:rFonts w:ascii="Nirmala UI" w:hAnsi="Nirmala UI" w:cs="Nirmala UI"/>
          <w:color w:val="000000" w:themeColor="text1"/>
          <w:sz w:val="22"/>
          <w:szCs w:val="22"/>
        </w:rPr>
        <w:t xml:space="preserve">Cualquiera de las partes podrá proponer la modificación del convenio. Para ello, se exigirá siempre el acuerdo de las partes y deberá seguirse el mismo régimen procedimental observado para su autorización. </w:t>
      </w:r>
    </w:p>
    <w:p w14:paraId="503AC533" w14:textId="77777777" w:rsidR="00943031" w:rsidRPr="00943031" w:rsidRDefault="00943031" w:rsidP="00943031">
      <w:pPr>
        <w:pStyle w:val="Default"/>
      </w:pPr>
    </w:p>
    <w:p w14:paraId="2D5B7181" w14:textId="1C1E50AD" w:rsidR="001432AD" w:rsidRPr="00365BDF" w:rsidRDefault="001432AD" w:rsidP="001432AD">
      <w:pPr>
        <w:pStyle w:val="Pa6"/>
        <w:jc w:val="both"/>
        <w:rPr>
          <w:rFonts w:ascii="Nirmala UI" w:hAnsi="Nirmala UI" w:cs="Nirmala UI"/>
          <w:b/>
          <w:i/>
          <w:iCs/>
          <w:color w:val="000000"/>
          <w:sz w:val="22"/>
          <w:szCs w:val="22"/>
        </w:rPr>
      </w:pPr>
      <w:r w:rsidRPr="00365BDF">
        <w:rPr>
          <w:rFonts w:ascii="Nirmala UI" w:hAnsi="Nirmala UI" w:cs="Nirmala UI"/>
          <w:b/>
          <w:color w:val="000000"/>
          <w:sz w:val="22"/>
          <w:szCs w:val="22"/>
        </w:rPr>
        <w:t xml:space="preserve">Decimocuarta. </w:t>
      </w:r>
      <w:r w:rsidRPr="00365BDF">
        <w:rPr>
          <w:rFonts w:ascii="Nirmala UI" w:hAnsi="Nirmala UI" w:cs="Nirmala UI"/>
          <w:b/>
          <w:i/>
          <w:iCs/>
          <w:color w:val="000000"/>
          <w:sz w:val="22"/>
          <w:szCs w:val="22"/>
        </w:rPr>
        <w:t>Mantenimiento de las finalidades</w:t>
      </w:r>
    </w:p>
    <w:p w14:paraId="281E3663" w14:textId="10E5ECDA" w:rsidR="001432AD" w:rsidRPr="00365BDF" w:rsidRDefault="001432AD" w:rsidP="007B37EE">
      <w:pPr>
        <w:pStyle w:val="Pa6"/>
        <w:numPr>
          <w:ilvl w:val="0"/>
          <w:numId w:val="20"/>
        </w:numPr>
        <w:jc w:val="both"/>
        <w:rPr>
          <w:rFonts w:ascii="Nirmala UI" w:hAnsi="Nirmala UI" w:cs="Nirmala UI"/>
          <w:color w:val="000000"/>
          <w:sz w:val="22"/>
          <w:szCs w:val="22"/>
        </w:rPr>
      </w:pPr>
      <w:r w:rsidRPr="00365BDF">
        <w:rPr>
          <w:rFonts w:ascii="Nirmala UI" w:hAnsi="Nirmala UI" w:cs="Nirmala UI"/>
          <w:color w:val="000000"/>
          <w:sz w:val="22"/>
          <w:szCs w:val="22"/>
        </w:rPr>
        <w:t>La EE. LL ejecutante estará obligada al mantenimiento en todo momento de las finalidades que persigue este convenio, incluso tras la finalización de su vigencia temporal, a cuyo amparo se realizan las actuaciones concretas e inversiones previstas en el mismo.</w:t>
      </w:r>
    </w:p>
    <w:p w14:paraId="5FBC13DF" w14:textId="77777777" w:rsidR="007B37EE" w:rsidRPr="00365BDF" w:rsidRDefault="007B37EE" w:rsidP="007B37EE">
      <w:pPr>
        <w:pStyle w:val="Default"/>
        <w:rPr>
          <w:rFonts w:ascii="Nirmala UI" w:hAnsi="Nirmala UI" w:cs="Nirmala UI"/>
          <w:sz w:val="22"/>
          <w:szCs w:val="22"/>
        </w:rPr>
      </w:pPr>
    </w:p>
    <w:p w14:paraId="65EC54EF" w14:textId="191E2891" w:rsidR="00FE53EC" w:rsidRDefault="001432AD" w:rsidP="00440BE9">
      <w:pPr>
        <w:pStyle w:val="Prrafodelista"/>
        <w:numPr>
          <w:ilvl w:val="0"/>
          <w:numId w:val="20"/>
        </w:numPr>
        <w:autoSpaceDE w:val="0"/>
        <w:autoSpaceDN w:val="0"/>
        <w:adjustRightInd w:val="0"/>
        <w:spacing w:after="0" w:line="240" w:lineRule="auto"/>
        <w:jc w:val="both"/>
        <w:rPr>
          <w:rFonts w:ascii="Nirmala UI" w:hAnsi="Nirmala UI" w:cs="Nirmala UI"/>
          <w:color w:val="000000"/>
        </w:rPr>
      </w:pPr>
      <w:r w:rsidRPr="00943031">
        <w:rPr>
          <w:rFonts w:ascii="Nirmala UI" w:hAnsi="Nirmala UI" w:cs="Nirmala UI"/>
          <w:color w:val="000000"/>
        </w:rPr>
        <w:t xml:space="preserve">El </w:t>
      </w:r>
      <w:r w:rsidRPr="00944A63">
        <w:rPr>
          <w:rFonts w:ascii="Nirmala UI" w:hAnsi="Nirmala UI" w:cs="Nirmala UI"/>
        </w:rPr>
        <w:t xml:space="preserve">incumplimiento por </w:t>
      </w:r>
      <w:r w:rsidR="00BD53B6" w:rsidRPr="00944A63">
        <w:rPr>
          <w:rFonts w:ascii="Nirmala UI" w:hAnsi="Nirmala UI" w:cs="Nirmala UI"/>
        </w:rPr>
        <w:t xml:space="preserve">el Cabildo de Gran Canaria </w:t>
      </w:r>
      <w:r w:rsidRPr="00944A63">
        <w:rPr>
          <w:rFonts w:ascii="Nirmala UI" w:hAnsi="Nirmala UI" w:cs="Nirmala UI"/>
        </w:rPr>
        <w:t xml:space="preserve">del deber de mantenimiento, o el posible deterioro grave de inmuebles o instalaciones, así como el abandono o incumplimiento del fin o fines para los cuales se efectuaron las inversiones acordadas durante el </w:t>
      </w:r>
      <w:r w:rsidRPr="00943031">
        <w:rPr>
          <w:rFonts w:ascii="Nirmala UI" w:hAnsi="Nirmala UI" w:cs="Nirmala UI"/>
          <w:color w:val="000000"/>
        </w:rPr>
        <w:t>plazo de vigencia del plan y un período de cinco años a partir de la conclusión del mismo, dará lugar al reintegro de las aportaciones efectuadas por las otras partes, con el correspondiente interés de demora aplicable</w:t>
      </w:r>
      <w:r w:rsidR="00B84C30" w:rsidRPr="00943031">
        <w:rPr>
          <w:rFonts w:ascii="Nirmala UI" w:hAnsi="Nirmala UI" w:cs="Nirmala UI"/>
          <w:color w:val="000000"/>
        </w:rPr>
        <w:t>.</w:t>
      </w:r>
      <w:r w:rsidRPr="00943031">
        <w:rPr>
          <w:rFonts w:ascii="Nirmala UI" w:hAnsi="Nirmala UI" w:cs="Nirmala UI"/>
          <w:color w:val="000000"/>
        </w:rPr>
        <w:t xml:space="preserve"> </w:t>
      </w:r>
    </w:p>
    <w:p w14:paraId="781E5949" w14:textId="77777777" w:rsidR="00943031" w:rsidRPr="00943031" w:rsidRDefault="00943031" w:rsidP="00943031">
      <w:pPr>
        <w:pStyle w:val="Prrafodelista"/>
        <w:rPr>
          <w:rFonts w:ascii="Nirmala UI" w:hAnsi="Nirmala UI" w:cs="Nirmala UI"/>
          <w:color w:val="000000"/>
        </w:rPr>
      </w:pPr>
    </w:p>
    <w:p w14:paraId="03BC223E" w14:textId="77777777" w:rsidR="00943031" w:rsidRPr="00943031" w:rsidRDefault="00943031" w:rsidP="00943031">
      <w:pPr>
        <w:pStyle w:val="Prrafodelista"/>
        <w:autoSpaceDE w:val="0"/>
        <w:autoSpaceDN w:val="0"/>
        <w:adjustRightInd w:val="0"/>
        <w:spacing w:after="0" w:line="240" w:lineRule="auto"/>
        <w:jc w:val="both"/>
        <w:rPr>
          <w:rFonts w:ascii="Nirmala UI" w:hAnsi="Nirmala UI" w:cs="Nirmala UI"/>
          <w:color w:val="000000"/>
        </w:rPr>
      </w:pPr>
    </w:p>
    <w:p w14:paraId="788945D5" w14:textId="23FCA685" w:rsidR="001826F1" w:rsidRPr="00365BDF" w:rsidRDefault="001432AD" w:rsidP="00FC46B6">
      <w:pPr>
        <w:autoSpaceDE w:val="0"/>
        <w:autoSpaceDN w:val="0"/>
        <w:adjustRightInd w:val="0"/>
        <w:spacing w:after="0" w:line="240" w:lineRule="auto"/>
        <w:jc w:val="both"/>
        <w:rPr>
          <w:rFonts w:ascii="Nirmala UI" w:hAnsi="Nirmala UI" w:cs="Nirmala UI"/>
          <w:b/>
          <w:i/>
          <w:iCs/>
          <w:color w:val="000000"/>
        </w:rPr>
      </w:pPr>
      <w:r w:rsidRPr="00365BDF">
        <w:rPr>
          <w:rFonts w:ascii="Nirmala UI" w:hAnsi="Nirmala UI" w:cs="Nirmala UI"/>
          <w:b/>
          <w:color w:val="000000"/>
        </w:rPr>
        <w:t>Decimoquinta</w:t>
      </w:r>
      <w:r w:rsidR="001826F1" w:rsidRPr="00365BDF">
        <w:rPr>
          <w:rFonts w:ascii="Nirmala UI" w:hAnsi="Nirmala UI" w:cs="Nirmala UI"/>
          <w:b/>
          <w:color w:val="000000"/>
        </w:rPr>
        <w:t xml:space="preserve">. </w:t>
      </w:r>
      <w:r w:rsidR="001826F1" w:rsidRPr="00365BDF">
        <w:rPr>
          <w:rFonts w:ascii="Nirmala UI" w:hAnsi="Nirmala UI" w:cs="Nirmala UI"/>
          <w:b/>
          <w:i/>
          <w:iCs/>
          <w:color w:val="000000"/>
        </w:rPr>
        <w:t>Vigencia</w:t>
      </w:r>
    </w:p>
    <w:p w14:paraId="62D77840" w14:textId="307C6290" w:rsidR="006A03FA" w:rsidRDefault="001826F1" w:rsidP="00664A7E">
      <w:pPr>
        <w:pStyle w:val="Prrafodelista"/>
        <w:numPr>
          <w:ilvl w:val="0"/>
          <w:numId w:val="21"/>
        </w:numPr>
        <w:autoSpaceDE w:val="0"/>
        <w:autoSpaceDN w:val="0"/>
        <w:adjustRightInd w:val="0"/>
        <w:spacing w:after="0" w:line="240" w:lineRule="auto"/>
        <w:jc w:val="both"/>
        <w:rPr>
          <w:rFonts w:ascii="Nirmala UI" w:hAnsi="Nirmala UI" w:cs="Nirmala UI"/>
          <w:color w:val="000000"/>
        </w:rPr>
      </w:pPr>
      <w:r w:rsidRPr="00943031">
        <w:rPr>
          <w:rFonts w:ascii="Nirmala UI" w:hAnsi="Nirmala UI" w:cs="Nirmala UI"/>
          <w:color w:val="000000"/>
        </w:rPr>
        <w:t>El presente convenio tendrá una duración de cuatro años</w:t>
      </w:r>
      <w:r w:rsidR="00417A5B" w:rsidRPr="00943031">
        <w:rPr>
          <w:rFonts w:ascii="Nirmala UI" w:hAnsi="Nirmala UI" w:cs="Nirmala UI"/>
          <w:color w:val="000000"/>
        </w:rPr>
        <w:t>, sin perjuicio de las posibles p</w:t>
      </w:r>
      <w:r w:rsidR="006A03FA" w:rsidRPr="00943031">
        <w:rPr>
          <w:rFonts w:ascii="Nirmala UI" w:hAnsi="Nirmala UI" w:cs="Nirmala UI"/>
          <w:color w:val="000000"/>
        </w:rPr>
        <w:t xml:space="preserve">rórrogas que pudieran otorgarse. </w:t>
      </w:r>
    </w:p>
    <w:p w14:paraId="2EDE017C" w14:textId="77777777" w:rsidR="00943031" w:rsidRPr="00943031" w:rsidRDefault="00943031" w:rsidP="00943031">
      <w:pPr>
        <w:pStyle w:val="Prrafodelista"/>
        <w:autoSpaceDE w:val="0"/>
        <w:autoSpaceDN w:val="0"/>
        <w:adjustRightInd w:val="0"/>
        <w:spacing w:after="0" w:line="240" w:lineRule="auto"/>
        <w:jc w:val="both"/>
        <w:rPr>
          <w:rFonts w:ascii="Nirmala UI" w:hAnsi="Nirmala UI" w:cs="Nirmala UI"/>
          <w:color w:val="000000"/>
        </w:rPr>
      </w:pPr>
    </w:p>
    <w:p w14:paraId="21A95561" w14:textId="3A2A5368" w:rsidR="00417A5B" w:rsidRDefault="006A03FA" w:rsidP="00126583">
      <w:pPr>
        <w:pStyle w:val="Prrafodelista"/>
        <w:numPr>
          <w:ilvl w:val="0"/>
          <w:numId w:val="21"/>
        </w:numPr>
        <w:autoSpaceDE w:val="0"/>
        <w:autoSpaceDN w:val="0"/>
        <w:adjustRightInd w:val="0"/>
        <w:spacing w:after="0" w:line="240" w:lineRule="auto"/>
        <w:jc w:val="both"/>
        <w:rPr>
          <w:rFonts w:ascii="Nirmala UI" w:hAnsi="Nirmala UI" w:cs="Nirmala UI"/>
          <w:color w:val="000000"/>
        </w:rPr>
      </w:pPr>
      <w:r w:rsidRPr="00943031">
        <w:rPr>
          <w:rFonts w:ascii="Nirmala UI" w:hAnsi="Nirmala UI" w:cs="Nirmala UI"/>
          <w:color w:val="000000"/>
        </w:rPr>
        <w:t>En cualquier momento antes de la finalización del plazo previsto en el párrafo anterior, los firmantes del Convenio podrán acordar unánimemente su prórroga por un periodo de hasta cuatro años adicionales o su extinción, conforme a lo dispuesto en el artículo 49 h) de la ley 40/2015</w:t>
      </w:r>
      <w:r>
        <w:rPr>
          <w:rFonts w:ascii="Nirmala UI" w:hAnsi="Nirmala UI" w:cs="Nirmala UI"/>
          <w:color w:val="000000"/>
        </w:rPr>
        <w:t>.</w:t>
      </w:r>
    </w:p>
    <w:p w14:paraId="70F3DAC5" w14:textId="77777777" w:rsidR="00943031" w:rsidRPr="00943031" w:rsidRDefault="00943031" w:rsidP="00943031">
      <w:pPr>
        <w:pStyle w:val="Prrafodelista"/>
        <w:rPr>
          <w:rFonts w:ascii="Nirmala UI" w:hAnsi="Nirmala UI" w:cs="Nirmala UI"/>
          <w:color w:val="000000"/>
        </w:rPr>
      </w:pPr>
    </w:p>
    <w:p w14:paraId="71F6C1DE" w14:textId="622924CF" w:rsidR="002F6F08" w:rsidRDefault="002F6F08" w:rsidP="00126583">
      <w:pPr>
        <w:pStyle w:val="Prrafodelista"/>
        <w:numPr>
          <w:ilvl w:val="0"/>
          <w:numId w:val="21"/>
        </w:numPr>
        <w:autoSpaceDE w:val="0"/>
        <w:autoSpaceDN w:val="0"/>
        <w:adjustRightInd w:val="0"/>
        <w:spacing w:after="0" w:line="240" w:lineRule="auto"/>
        <w:jc w:val="both"/>
        <w:rPr>
          <w:rFonts w:ascii="Nirmala UI" w:hAnsi="Nirmala UI" w:cs="Nirmala UI"/>
          <w:color w:val="000000"/>
        </w:rPr>
      </w:pPr>
      <w:r w:rsidRPr="00943031">
        <w:rPr>
          <w:rFonts w:ascii="Nirmala UI" w:hAnsi="Nirmala UI" w:cs="Nirmala UI"/>
          <w:color w:val="000000"/>
        </w:rPr>
        <w:t>Las prórrogas de los plazos de ejecución y de justificación de las actuaciones tienen que ser acordadas, para que surtan efectos, dentro del periodo de vigencia in</w:t>
      </w:r>
      <w:r w:rsidR="00845BB0">
        <w:rPr>
          <w:rFonts w:ascii="Nirmala UI" w:hAnsi="Nirmala UI" w:cs="Nirmala UI"/>
          <w:color w:val="000000"/>
        </w:rPr>
        <w:t>icial o prorrogada del c</w:t>
      </w:r>
      <w:r w:rsidRPr="00943031">
        <w:rPr>
          <w:rFonts w:ascii="Nirmala UI" w:hAnsi="Nirmala UI" w:cs="Nirmala UI"/>
          <w:color w:val="000000"/>
        </w:rPr>
        <w:t>onvenio</w:t>
      </w:r>
      <w:r w:rsidRPr="002F6F08">
        <w:rPr>
          <w:rFonts w:ascii="Nirmala UI" w:hAnsi="Nirmala UI" w:cs="Nirmala UI"/>
          <w:color w:val="000000"/>
        </w:rPr>
        <w:t>.</w:t>
      </w:r>
      <w:r>
        <w:rPr>
          <w:rFonts w:ascii="Nirmala UI" w:hAnsi="Nirmala UI" w:cs="Nirmala UI"/>
          <w:color w:val="000000"/>
        </w:rPr>
        <w:t xml:space="preserve"> </w:t>
      </w:r>
    </w:p>
    <w:p w14:paraId="4AEDCC4F" w14:textId="77777777" w:rsidR="00943031" w:rsidRPr="00943031" w:rsidRDefault="00943031" w:rsidP="00943031">
      <w:pPr>
        <w:pStyle w:val="Prrafodelista"/>
        <w:rPr>
          <w:rFonts w:ascii="Nirmala UI" w:hAnsi="Nirmala UI" w:cs="Nirmala UI"/>
          <w:color w:val="000000"/>
        </w:rPr>
      </w:pPr>
    </w:p>
    <w:p w14:paraId="23D3BD29" w14:textId="77777777" w:rsidR="00943031" w:rsidRDefault="00943031" w:rsidP="00943031">
      <w:pPr>
        <w:pStyle w:val="Prrafodelista"/>
        <w:autoSpaceDE w:val="0"/>
        <w:autoSpaceDN w:val="0"/>
        <w:adjustRightInd w:val="0"/>
        <w:spacing w:after="0" w:line="240" w:lineRule="auto"/>
        <w:jc w:val="both"/>
        <w:rPr>
          <w:rFonts w:ascii="Nirmala UI" w:hAnsi="Nirmala UI" w:cs="Nirmala UI"/>
          <w:color w:val="000000"/>
        </w:rPr>
      </w:pPr>
    </w:p>
    <w:p w14:paraId="5445EF33" w14:textId="3F351BAE" w:rsidR="00417A5B" w:rsidRPr="00365BDF" w:rsidRDefault="00417A5B" w:rsidP="007B37EE">
      <w:pPr>
        <w:pStyle w:val="Prrafodelista"/>
        <w:numPr>
          <w:ilvl w:val="0"/>
          <w:numId w:val="21"/>
        </w:numPr>
        <w:autoSpaceDE w:val="0"/>
        <w:autoSpaceDN w:val="0"/>
        <w:adjustRightInd w:val="0"/>
        <w:spacing w:after="0" w:line="240" w:lineRule="auto"/>
        <w:jc w:val="both"/>
        <w:rPr>
          <w:rFonts w:ascii="Nirmala UI" w:hAnsi="Nirmala UI" w:cs="Nirmala UI"/>
        </w:rPr>
      </w:pPr>
      <w:r w:rsidRPr="00943031">
        <w:rPr>
          <w:rFonts w:ascii="Nirmala UI" w:hAnsi="Nirmala UI" w:cs="Nirmala UI"/>
          <w:color w:val="000000"/>
        </w:rPr>
        <w:t>Conforme a lo establecido en el artículo 48 de</w:t>
      </w:r>
      <w:r w:rsidRPr="00365BDF">
        <w:rPr>
          <w:rFonts w:ascii="Nirmala UI" w:hAnsi="Nirmala UI" w:cs="Nirmala UI"/>
        </w:rPr>
        <w:t xml:space="preserve"> la LRJSP</w:t>
      </w:r>
      <w:r w:rsidRPr="00365BDF">
        <w:rPr>
          <w:rFonts w:ascii="Nirmala UI" w:hAnsi="Nirmala UI" w:cs="Nirmala UI"/>
          <w:shd w:val="clear" w:color="auto" w:fill="FFFFFF"/>
        </w:rPr>
        <w:t xml:space="preserve">, </w:t>
      </w:r>
      <w:r w:rsidR="008F1A66" w:rsidRPr="00365BDF">
        <w:rPr>
          <w:rFonts w:ascii="Nirmala UI" w:hAnsi="Nirmala UI" w:cs="Nirmala UI"/>
          <w:shd w:val="clear" w:color="auto" w:fill="FFFFFF"/>
        </w:rPr>
        <w:t xml:space="preserve">el convenio suscrito </w:t>
      </w:r>
      <w:r w:rsidRPr="00365BDF">
        <w:rPr>
          <w:rFonts w:ascii="Nirmala UI" w:hAnsi="Nirmala UI" w:cs="Nirmala UI"/>
          <w:shd w:val="clear" w:color="auto" w:fill="FFFFFF"/>
        </w:rPr>
        <w:t xml:space="preserve">resultará eficaz una vez inscrito en el Registro Electrónico estatal de Órganos e Instrumentos de Cooperación del sector público estatal, al que se refiere la disposición adicional séptima y publicado en el Boletín Oficial del Estado. </w:t>
      </w:r>
    </w:p>
    <w:p w14:paraId="316E0A6E" w14:textId="1595942A" w:rsidR="001826F1" w:rsidRPr="00365BDF" w:rsidRDefault="001826F1" w:rsidP="00FC46B6">
      <w:pPr>
        <w:autoSpaceDE w:val="0"/>
        <w:autoSpaceDN w:val="0"/>
        <w:adjustRightInd w:val="0"/>
        <w:spacing w:after="0" w:line="240" w:lineRule="auto"/>
        <w:jc w:val="both"/>
        <w:rPr>
          <w:rFonts w:ascii="Nirmala UI" w:hAnsi="Nirmala UI" w:cs="Nirmala UI"/>
          <w:color w:val="000000"/>
        </w:rPr>
      </w:pPr>
    </w:p>
    <w:p w14:paraId="6592E9C9" w14:textId="77777777" w:rsidR="001826F1" w:rsidRPr="00365BDF" w:rsidRDefault="001826F1" w:rsidP="00FC46B6">
      <w:pPr>
        <w:pStyle w:val="Pa6"/>
        <w:jc w:val="both"/>
        <w:rPr>
          <w:rFonts w:ascii="Nirmala UI" w:hAnsi="Nirmala UI" w:cs="Nirmala UI"/>
          <w:b/>
          <w:i/>
          <w:iCs/>
          <w:color w:val="000000"/>
          <w:sz w:val="22"/>
          <w:szCs w:val="22"/>
        </w:rPr>
      </w:pPr>
      <w:r w:rsidRPr="00365BDF">
        <w:rPr>
          <w:rFonts w:ascii="Nirmala UI" w:hAnsi="Nirmala UI" w:cs="Nirmala UI"/>
          <w:b/>
          <w:color w:val="000000"/>
          <w:sz w:val="22"/>
          <w:szCs w:val="22"/>
        </w:rPr>
        <w:t xml:space="preserve">Decimosexta. </w:t>
      </w:r>
      <w:r w:rsidRPr="00365BDF">
        <w:rPr>
          <w:rFonts w:ascii="Nirmala UI" w:hAnsi="Nirmala UI" w:cs="Nirmala UI"/>
          <w:b/>
          <w:i/>
          <w:iCs/>
          <w:color w:val="000000"/>
          <w:sz w:val="22"/>
          <w:szCs w:val="22"/>
        </w:rPr>
        <w:t>Régimen aplicable</w:t>
      </w:r>
    </w:p>
    <w:p w14:paraId="501FBD54" w14:textId="57DCB1CC" w:rsidR="001826F1" w:rsidRPr="00781187" w:rsidRDefault="001826F1" w:rsidP="007B37EE">
      <w:pPr>
        <w:pStyle w:val="Pa6"/>
        <w:numPr>
          <w:ilvl w:val="0"/>
          <w:numId w:val="22"/>
        </w:numPr>
        <w:jc w:val="both"/>
        <w:rPr>
          <w:rFonts w:ascii="Nirmala UI" w:hAnsi="Nirmala UI" w:cs="Nirmala UI"/>
          <w:sz w:val="22"/>
          <w:szCs w:val="22"/>
        </w:rPr>
      </w:pPr>
      <w:r w:rsidRPr="00365BDF">
        <w:rPr>
          <w:rFonts w:ascii="Nirmala UI" w:hAnsi="Nirmala UI" w:cs="Nirmala UI"/>
          <w:color w:val="000000"/>
          <w:sz w:val="22"/>
          <w:szCs w:val="22"/>
        </w:rPr>
        <w:t xml:space="preserve">El régimen jurídico aplicable a este convenio es el establecido en el </w:t>
      </w:r>
      <w:r w:rsidR="00DD0D2A" w:rsidRPr="00365BDF">
        <w:rPr>
          <w:rFonts w:ascii="Nirmala UI" w:hAnsi="Nirmala UI" w:cs="Nirmala UI"/>
          <w:color w:val="000000"/>
          <w:sz w:val="22"/>
          <w:szCs w:val="22"/>
        </w:rPr>
        <w:t xml:space="preserve">Capítulo VI del Título </w:t>
      </w:r>
      <w:r w:rsidR="00DD0D2A" w:rsidRPr="00781187">
        <w:rPr>
          <w:rFonts w:ascii="Nirmala UI" w:hAnsi="Nirmala UI" w:cs="Nirmala UI"/>
          <w:sz w:val="22"/>
          <w:szCs w:val="22"/>
        </w:rPr>
        <w:t>Preliminar de la Ley 40</w:t>
      </w:r>
      <w:r w:rsidRPr="00781187">
        <w:rPr>
          <w:rFonts w:ascii="Nirmala UI" w:hAnsi="Nirmala UI" w:cs="Nirmala UI"/>
          <w:sz w:val="22"/>
          <w:szCs w:val="22"/>
        </w:rPr>
        <w:t>/</w:t>
      </w:r>
      <w:r w:rsidR="00DD0D2A" w:rsidRPr="00781187">
        <w:rPr>
          <w:rFonts w:ascii="Nirmala UI" w:hAnsi="Nirmala UI" w:cs="Nirmala UI"/>
          <w:sz w:val="22"/>
          <w:szCs w:val="22"/>
        </w:rPr>
        <w:t>2015</w:t>
      </w:r>
      <w:r w:rsidRPr="00781187">
        <w:rPr>
          <w:rFonts w:ascii="Nirmala UI" w:hAnsi="Nirmala UI" w:cs="Nirmala UI"/>
          <w:sz w:val="22"/>
          <w:szCs w:val="22"/>
        </w:rPr>
        <w:t>,</w:t>
      </w:r>
      <w:r w:rsidR="00DD0D2A" w:rsidRPr="00781187">
        <w:rPr>
          <w:rFonts w:ascii="Nirmala UI" w:hAnsi="Nirmala UI" w:cs="Nirmala UI"/>
          <w:sz w:val="22"/>
          <w:szCs w:val="22"/>
        </w:rPr>
        <w:t xml:space="preserve"> de 1 de octubre,</w:t>
      </w:r>
      <w:r w:rsidRPr="00781187">
        <w:rPr>
          <w:rFonts w:ascii="Nirmala UI" w:hAnsi="Nirmala UI" w:cs="Nirmala UI"/>
          <w:sz w:val="22"/>
          <w:szCs w:val="22"/>
        </w:rPr>
        <w:t xml:space="preserve"> de</w:t>
      </w:r>
      <w:r w:rsidR="00DD0D2A" w:rsidRPr="00781187">
        <w:rPr>
          <w:rFonts w:ascii="Nirmala UI" w:hAnsi="Nirmala UI" w:cs="Nirmala UI"/>
          <w:sz w:val="22"/>
          <w:szCs w:val="22"/>
        </w:rPr>
        <w:t>l</w:t>
      </w:r>
      <w:r w:rsidRPr="00781187">
        <w:rPr>
          <w:rFonts w:ascii="Nirmala UI" w:hAnsi="Nirmala UI" w:cs="Nirmala UI"/>
          <w:sz w:val="22"/>
          <w:szCs w:val="22"/>
        </w:rPr>
        <w:t xml:space="preserve"> Régimen Jurídico de</w:t>
      </w:r>
      <w:r w:rsidR="00DD0D2A" w:rsidRPr="00781187">
        <w:rPr>
          <w:rFonts w:ascii="Nirmala UI" w:hAnsi="Nirmala UI" w:cs="Nirmala UI"/>
          <w:sz w:val="22"/>
          <w:szCs w:val="22"/>
        </w:rPr>
        <w:t>l Sector Público</w:t>
      </w:r>
      <w:r w:rsidRPr="00781187">
        <w:rPr>
          <w:rFonts w:ascii="Nirmala UI" w:hAnsi="Nirmala UI" w:cs="Nirmala UI"/>
          <w:sz w:val="22"/>
          <w:szCs w:val="22"/>
        </w:rPr>
        <w:t>, siendo de aplicación asimismo las restantes normas de Derecho Administrativo en materia de interpretación, modificación y resolución de las cuestiones no contempladas en el convenio que se suscribe.</w:t>
      </w:r>
    </w:p>
    <w:p w14:paraId="36E9B75B" w14:textId="3F2C0157" w:rsidR="00F16802" w:rsidRPr="00781187" w:rsidRDefault="00F16802" w:rsidP="005E14FB">
      <w:pPr>
        <w:pStyle w:val="Pa6"/>
        <w:ind w:left="720"/>
        <w:jc w:val="both"/>
        <w:rPr>
          <w:rFonts w:ascii="Nirmala UI" w:hAnsi="Nirmala UI" w:cs="Nirmala UI"/>
          <w:sz w:val="22"/>
          <w:szCs w:val="22"/>
        </w:rPr>
      </w:pPr>
      <w:r w:rsidRPr="00781187">
        <w:rPr>
          <w:rFonts w:ascii="Nirmala UI" w:hAnsi="Nirmala UI" w:cs="Nirmala UI"/>
          <w:sz w:val="22"/>
          <w:szCs w:val="22"/>
        </w:rPr>
        <w:t>Así como en el Decreto 11/2019, de 11 de febrero, por el que se regula la actividad convencional y se crean y regulan el registro General Electrónico de Convenios del Sector Público de la CAC y el Registro Electrónico de Órganos de Cooperación de la Administración Pública de la Comunidad Autónoma de Canarias.</w:t>
      </w:r>
    </w:p>
    <w:p w14:paraId="489DBCFF" w14:textId="77777777" w:rsidR="00F16802" w:rsidRPr="00781187" w:rsidRDefault="00F16802" w:rsidP="005E14FB">
      <w:pPr>
        <w:pStyle w:val="Default"/>
        <w:rPr>
          <w:color w:val="auto"/>
        </w:rPr>
      </w:pPr>
    </w:p>
    <w:p w14:paraId="6E0A9A2F" w14:textId="5BBE23E5" w:rsidR="008F1A66" w:rsidRPr="00781187" w:rsidRDefault="008F1A66">
      <w:pPr>
        <w:pStyle w:val="Default"/>
        <w:rPr>
          <w:rFonts w:ascii="Nirmala UI" w:hAnsi="Nirmala UI" w:cs="Nirmala UI"/>
          <w:color w:val="auto"/>
          <w:sz w:val="22"/>
          <w:szCs w:val="22"/>
        </w:rPr>
      </w:pPr>
      <w:r w:rsidRPr="00781187">
        <w:rPr>
          <w:rFonts w:ascii="Nirmala UI" w:hAnsi="Nirmala UI" w:cs="Nirmala UI"/>
          <w:color w:val="auto"/>
          <w:sz w:val="22"/>
          <w:szCs w:val="22"/>
        </w:rPr>
        <w:t xml:space="preserve"> </w:t>
      </w:r>
    </w:p>
    <w:p w14:paraId="6CAF1C46" w14:textId="1C0DA371" w:rsidR="001826F1" w:rsidRPr="00781187" w:rsidRDefault="001826F1" w:rsidP="007B37EE">
      <w:pPr>
        <w:pStyle w:val="Prrafodelista"/>
        <w:numPr>
          <w:ilvl w:val="0"/>
          <w:numId w:val="22"/>
        </w:numPr>
        <w:autoSpaceDE w:val="0"/>
        <w:autoSpaceDN w:val="0"/>
        <w:adjustRightInd w:val="0"/>
        <w:spacing w:after="0" w:line="240" w:lineRule="auto"/>
        <w:jc w:val="both"/>
        <w:rPr>
          <w:rFonts w:ascii="Nirmala UI" w:hAnsi="Nirmala UI" w:cs="Nirmala UI"/>
        </w:rPr>
      </w:pPr>
      <w:r w:rsidRPr="00781187">
        <w:rPr>
          <w:rFonts w:ascii="Nirmala UI" w:hAnsi="Nirmala UI" w:cs="Nirmala UI"/>
        </w:rPr>
        <w:t>Las cuestiones litigiosas que surjan en la interpretación y cumplimiento del presente convenio serán de conocimiento y competencia del O</w:t>
      </w:r>
      <w:r w:rsidR="00DD0D2A" w:rsidRPr="00781187">
        <w:rPr>
          <w:rFonts w:ascii="Nirmala UI" w:hAnsi="Nirmala UI" w:cs="Nirmala UI"/>
        </w:rPr>
        <w:t>rden Jurisdiccional Contencioso-</w:t>
      </w:r>
      <w:r w:rsidRPr="00781187">
        <w:rPr>
          <w:rFonts w:ascii="Nirmala UI" w:hAnsi="Nirmala UI" w:cs="Nirmala UI"/>
        </w:rPr>
        <w:t>Administrativo.</w:t>
      </w:r>
    </w:p>
    <w:p w14:paraId="14DCA4B1" w14:textId="77777777" w:rsidR="001826F1" w:rsidRPr="00781187" w:rsidRDefault="001826F1" w:rsidP="00FC46B6">
      <w:pPr>
        <w:autoSpaceDE w:val="0"/>
        <w:autoSpaceDN w:val="0"/>
        <w:adjustRightInd w:val="0"/>
        <w:spacing w:after="0" w:line="240" w:lineRule="auto"/>
        <w:jc w:val="both"/>
        <w:rPr>
          <w:rFonts w:ascii="Nirmala UI" w:hAnsi="Nirmala UI" w:cs="Nirmala UI"/>
        </w:rPr>
      </w:pPr>
    </w:p>
    <w:p w14:paraId="6FA6C622" w14:textId="77777777" w:rsidR="001826F1" w:rsidRPr="00781187" w:rsidRDefault="001826F1" w:rsidP="00FC46B6">
      <w:pPr>
        <w:autoSpaceDE w:val="0"/>
        <w:autoSpaceDN w:val="0"/>
        <w:adjustRightInd w:val="0"/>
        <w:spacing w:after="0" w:line="240" w:lineRule="auto"/>
        <w:jc w:val="both"/>
        <w:rPr>
          <w:rFonts w:ascii="Nirmala UI" w:hAnsi="Nirmala UI" w:cs="Nirmala UI"/>
        </w:rPr>
      </w:pPr>
    </w:p>
    <w:p w14:paraId="5CEE1E6A" w14:textId="078D75A5" w:rsidR="00781187" w:rsidRDefault="001826F1" w:rsidP="00FC46B6">
      <w:pPr>
        <w:autoSpaceDE w:val="0"/>
        <w:autoSpaceDN w:val="0"/>
        <w:adjustRightInd w:val="0"/>
        <w:spacing w:after="0" w:line="240" w:lineRule="auto"/>
        <w:jc w:val="both"/>
        <w:rPr>
          <w:rFonts w:ascii="Nirmala UI" w:hAnsi="Nirmala UI" w:cs="Nirmala UI"/>
        </w:rPr>
      </w:pPr>
      <w:r w:rsidRPr="00781187">
        <w:rPr>
          <w:rFonts w:ascii="Nirmala UI" w:hAnsi="Nirmala UI" w:cs="Nirmala UI"/>
        </w:rPr>
        <w:t>Y en prueb</w:t>
      </w:r>
      <w:r w:rsidR="00DD0D2A" w:rsidRPr="00781187">
        <w:rPr>
          <w:rFonts w:ascii="Nirmala UI" w:hAnsi="Nirmala UI" w:cs="Nirmala UI"/>
        </w:rPr>
        <w:t>a de conformidad lo firman por triplicado</w:t>
      </w:r>
      <w:r w:rsidR="008F1A66" w:rsidRPr="00781187">
        <w:rPr>
          <w:rFonts w:ascii="Nirmala UI" w:hAnsi="Nirmala UI" w:cs="Nirmala UI"/>
        </w:rPr>
        <w:t xml:space="preserve"> ejemplar</w:t>
      </w:r>
      <w:r w:rsidR="00DD0D2A" w:rsidRPr="00781187">
        <w:rPr>
          <w:rFonts w:ascii="Nirmala UI" w:hAnsi="Nirmala UI" w:cs="Nirmala UI"/>
        </w:rPr>
        <w:t xml:space="preserve"> </w:t>
      </w:r>
      <w:r w:rsidRPr="00781187">
        <w:rPr>
          <w:rFonts w:ascii="Nirmala UI" w:hAnsi="Nirmala UI" w:cs="Nirmala UI"/>
        </w:rPr>
        <w:t>los intervinientes, en el lugar y fecha indicados en el encabezamiento.</w:t>
      </w:r>
    </w:p>
    <w:p w14:paraId="614E16CF" w14:textId="0BCDE13D" w:rsidR="00781187" w:rsidRDefault="00781187" w:rsidP="00FC46B6">
      <w:pPr>
        <w:autoSpaceDE w:val="0"/>
        <w:autoSpaceDN w:val="0"/>
        <w:adjustRightInd w:val="0"/>
        <w:spacing w:after="0" w:line="240" w:lineRule="auto"/>
        <w:jc w:val="both"/>
        <w:rPr>
          <w:rFonts w:ascii="Nirmala UI" w:hAnsi="Nirmala UI" w:cs="Nirmala UI"/>
        </w:rPr>
      </w:pPr>
    </w:p>
    <w:p w14:paraId="7446930F" w14:textId="5284A59A" w:rsidR="00781187" w:rsidRDefault="00781187" w:rsidP="00FC46B6">
      <w:pPr>
        <w:autoSpaceDE w:val="0"/>
        <w:autoSpaceDN w:val="0"/>
        <w:adjustRightInd w:val="0"/>
        <w:spacing w:after="0" w:line="240" w:lineRule="auto"/>
        <w:jc w:val="both"/>
        <w:rPr>
          <w:rFonts w:ascii="Nirmala UI" w:hAnsi="Nirmala UI" w:cs="Nirmala UI"/>
        </w:rPr>
      </w:pPr>
    </w:p>
    <w:p w14:paraId="45D1E83A" w14:textId="77777777" w:rsidR="00781187" w:rsidRPr="00781187" w:rsidRDefault="00781187" w:rsidP="00FC46B6">
      <w:pPr>
        <w:autoSpaceDE w:val="0"/>
        <w:autoSpaceDN w:val="0"/>
        <w:adjustRightInd w:val="0"/>
        <w:spacing w:after="0" w:line="240" w:lineRule="auto"/>
        <w:jc w:val="both"/>
        <w:rPr>
          <w:rFonts w:ascii="Nirmala UI" w:hAnsi="Nirmala UI" w:cs="Nirmala UI"/>
        </w:rPr>
      </w:pPr>
    </w:p>
    <w:p w14:paraId="2D917423" w14:textId="40211B10" w:rsidR="00DD0D2A" w:rsidRPr="00781187" w:rsidRDefault="00DD0D2A" w:rsidP="00FC46B6">
      <w:pPr>
        <w:autoSpaceDE w:val="0"/>
        <w:autoSpaceDN w:val="0"/>
        <w:adjustRightInd w:val="0"/>
        <w:spacing w:after="0" w:line="240" w:lineRule="auto"/>
        <w:jc w:val="both"/>
        <w:rPr>
          <w:rFonts w:ascii="Nirmala UI" w:hAnsi="Nirmala UI" w:cs="Nirmala UI"/>
        </w:rPr>
      </w:pPr>
    </w:p>
    <w:tbl>
      <w:tblPr>
        <w:tblW w:w="8624" w:type="dxa"/>
        <w:tblLook w:val="01E0" w:firstRow="1" w:lastRow="1" w:firstColumn="1" w:lastColumn="1" w:noHBand="0" w:noVBand="0"/>
      </w:tblPr>
      <w:tblGrid>
        <w:gridCol w:w="4318"/>
        <w:gridCol w:w="4306"/>
      </w:tblGrid>
      <w:tr w:rsidR="00781187" w:rsidRPr="00781187" w14:paraId="70BBD2AF" w14:textId="77777777" w:rsidTr="001901D6">
        <w:trPr>
          <w:trHeight w:val="307"/>
        </w:trPr>
        <w:tc>
          <w:tcPr>
            <w:tcW w:w="4318" w:type="dxa"/>
            <w:vAlign w:val="center"/>
          </w:tcPr>
          <w:p w14:paraId="20A1093E" w14:textId="3EFF5D58" w:rsidR="00F16802" w:rsidRPr="00781187" w:rsidRDefault="00F16802" w:rsidP="00F16802">
            <w:pPr>
              <w:rPr>
                <w:rFonts w:ascii="Nirmala UI" w:hAnsi="Nirmala UI" w:cs="Nirmala UI"/>
              </w:rPr>
            </w:pPr>
            <w:r w:rsidRPr="00781187">
              <w:rPr>
                <w:rFonts w:ascii="Nirmala UI" w:hAnsi="Nirmala UI" w:cs="Nirmala UI"/>
              </w:rPr>
              <w:t>El Secretario de Estado de Turismo</w:t>
            </w:r>
          </w:p>
        </w:tc>
        <w:tc>
          <w:tcPr>
            <w:tcW w:w="4306" w:type="dxa"/>
            <w:vAlign w:val="center"/>
          </w:tcPr>
          <w:p w14:paraId="5649D0FD" w14:textId="77777777" w:rsidR="00F16802" w:rsidRPr="00781187" w:rsidRDefault="00F16802" w:rsidP="00F16802">
            <w:pPr>
              <w:pStyle w:val="Standard"/>
              <w:spacing w:line="276" w:lineRule="auto"/>
              <w:jc w:val="center"/>
              <w:rPr>
                <w:color w:val="auto"/>
                <w:sz w:val="22"/>
                <w:szCs w:val="22"/>
                <w:lang w:val="es-ES" w:eastAsia="en-US"/>
              </w:rPr>
            </w:pPr>
            <w:r w:rsidRPr="00781187">
              <w:rPr>
                <w:rFonts w:ascii="Arial Narrow" w:hAnsi="Arial Narrow" w:cs="Calibri"/>
                <w:color w:val="auto"/>
                <w:sz w:val="22"/>
                <w:szCs w:val="22"/>
                <w:lang w:val="es-ES" w:eastAsia="en-US"/>
              </w:rPr>
              <w:t>La Consejera de Turismo, Industria y Comercio del Gobierno de Canarias</w:t>
            </w:r>
          </w:p>
          <w:p w14:paraId="5CEC4FBC" w14:textId="22D61FF6" w:rsidR="00F16802" w:rsidRPr="00781187" w:rsidRDefault="00F16802" w:rsidP="00F16802">
            <w:pPr>
              <w:rPr>
                <w:rFonts w:ascii="Nirmala UI" w:hAnsi="Nirmala UI" w:cs="Nirmala UI"/>
              </w:rPr>
            </w:pPr>
          </w:p>
        </w:tc>
      </w:tr>
      <w:tr w:rsidR="00781187" w:rsidRPr="00781187" w14:paraId="52FDE65F" w14:textId="77777777" w:rsidTr="001901D6">
        <w:trPr>
          <w:trHeight w:val="297"/>
        </w:trPr>
        <w:tc>
          <w:tcPr>
            <w:tcW w:w="4318" w:type="dxa"/>
            <w:vAlign w:val="center"/>
          </w:tcPr>
          <w:p w14:paraId="708E7949" w14:textId="77777777" w:rsidR="00F16802" w:rsidRPr="00781187" w:rsidRDefault="00F16802" w:rsidP="00F16802">
            <w:pPr>
              <w:rPr>
                <w:rFonts w:ascii="Nirmala UI" w:hAnsi="Nirmala UI" w:cs="Nirmala UI"/>
              </w:rPr>
            </w:pPr>
          </w:p>
        </w:tc>
        <w:tc>
          <w:tcPr>
            <w:tcW w:w="4306" w:type="dxa"/>
            <w:vAlign w:val="center"/>
          </w:tcPr>
          <w:p w14:paraId="766C6343" w14:textId="77777777" w:rsidR="00F16802" w:rsidRPr="00781187" w:rsidRDefault="00F16802" w:rsidP="00F16802">
            <w:pPr>
              <w:rPr>
                <w:rFonts w:ascii="Nirmala UI" w:hAnsi="Nirmala UI" w:cs="Nirmala UI"/>
              </w:rPr>
            </w:pPr>
          </w:p>
          <w:p w14:paraId="24CFCD26" w14:textId="379C4427" w:rsidR="00F16802" w:rsidRPr="00781187" w:rsidRDefault="00F16802" w:rsidP="00F16802">
            <w:pPr>
              <w:rPr>
                <w:rFonts w:ascii="Nirmala UI" w:hAnsi="Nirmala UI" w:cs="Nirmala UI"/>
              </w:rPr>
            </w:pPr>
          </w:p>
        </w:tc>
      </w:tr>
      <w:tr w:rsidR="00781187" w:rsidRPr="00781187" w14:paraId="4454A8FB" w14:textId="77777777" w:rsidTr="001901D6">
        <w:trPr>
          <w:trHeight w:val="307"/>
        </w:trPr>
        <w:tc>
          <w:tcPr>
            <w:tcW w:w="4318" w:type="dxa"/>
            <w:vAlign w:val="center"/>
          </w:tcPr>
          <w:p w14:paraId="717BB3DC" w14:textId="2D950FF8" w:rsidR="00F16802" w:rsidRPr="00781187" w:rsidRDefault="00F16802" w:rsidP="00F16802">
            <w:pPr>
              <w:rPr>
                <w:rFonts w:ascii="Nirmala UI" w:hAnsi="Nirmala UI" w:cs="Nirmala UI"/>
              </w:rPr>
            </w:pPr>
            <w:r w:rsidRPr="00781187">
              <w:rPr>
                <w:rFonts w:ascii="Nirmala UI" w:hAnsi="Nirmala UI" w:cs="Nirmala UI"/>
              </w:rPr>
              <w:t>Fdo.: D. Fernando Valdés Verelst</w:t>
            </w:r>
          </w:p>
        </w:tc>
        <w:tc>
          <w:tcPr>
            <w:tcW w:w="4306" w:type="dxa"/>
            <w:vAlign w:val="center"/>
          </w:tcPr>
          <w:p w14:paraId="31AFE799" w14:textId="0B94DD83" w:rsidR="00F16802" w:rsidRPr="00781187" w:rsidRDefault="00F16802" w:rsidP="00781187">
            <w:pPr>
              <w:jc w:val="center"/>
              <w:rPr>
                <w:rFonts w:ascii="Nirmala UI" w:hAnsi="Nirmala UI" w:cs="Nirmala UI"/>
              </w:rPr>
            </w:pPr>
            <w:r w:rsidRPr="00781187">
              <w:rPr>
                <w:rFonts w:ascii="Nirmala UI" w:hAnsi="Nirmala UI" w:cs="Nirmala UI"/>
              </w:rPr>
              <w:t xml:space="preserve">Fdo.: </w:t>
            </w:r>
            <w:r w:rsidRPr="00781187">
              <w:rPr>
                <w:rFonts w:ascii="Arial Narrow" w:hAnsi="Arial Narrow" w:cs="Calibri"/>
                <w:bCs/>
              </w:rPr>
              <w:t>Yaiza Castilla Herrera</w:t>
            </w:r>
          </w:p>
        </w:tc>
      </w:tr>
      <w:tr w:rsidR="00781187" w:rsidRPr="00781187" w14:paraId="48885B6D" w14:textId="77777777" w:rsidTr="001901D6">
        <w:trPr>
          <w:trHeight w:val="307"/>
        </w:trPr>
        <w:tc>
          <w:tcPr>
            <w:tcW w:w="8624" w:type="dxa"/>
            <w:gridSpan w:val="2"/>
            <w:vAlign w:val="center"/>
          </w:tcPr>
          <w:p w14:paraId="0F808BEB" w14:textId="77777777" w:rsidR="00943031" w:rsidRPr="00781187" w:rsidRDefault="00943031" w:rsidP="000236BE">
            <w:pPr>
              <w:jc w:val="center"/>
              <w:rPr>
                <w:rFonts w:ascii="Nirmala UI" w:hAnsi="Nirmala UI" w:cs="Nirmala UI"/>
              </w:rPr>
            </w:pPr>
          </w:p>
          <w:p w14:paraId="5028CE8A" w14:textId="0DB79770" w:rsidR="00DD0D2A" w:rsidRPr="00781187" w:rsidRDefault="00FD2751" w:rsidP="000236BE">
            <w:pPr>
              <w:jc w:val="center"/>
              <w:rPr>
                <w:rFonts w:ascii="Nirmala UI" w:hAnsi="Nirmala UI" w:cs="Nirmala UI"/>
              </w:rPr>
            </w:pPr>
            <w:r w:rsidRPr="00781187">
              <w:rPr>
                <w:rFonts w:ascii="Nirmala UI" w:hAnsi="Nirmala UI" w:cs="Nirmala UI"/>
              </w:rPr>
              <w:t>El Presidente del Cabildo de Gran Canaria</w:t>
            </w:r>
          </w:p>
        </w:tc>
      </w:tr>
      <w:tr w:rsidR="000236BE" w:rsidRPr="00781187" w14:paraId="7A59F291" w14:textId="77777777" w:rsidTr="001901D6">
        <w:trPr>
          <w:trHeight w:val="609"/>
        </w:trPr>
        <w:tc>
          <w:tcPr>
            <w:tcW w:w="8624" w:type="dxa"/>
            <w:gridSpan w:val="2"/>
            <w:vAlign w:val="center"/>
          </w:tcPr>
          <w:p w14:paraId="7220BD8F" w14:textId="77777777" w:rsidR="00943031" w:rsidRPr="00781187" w:rsidRDefault="00943031" w:rsidP="00943031">
            <w:pPr>
              <w:jc w:val="center"/>
              <w:rPr>
                <w:rFonts w:ascii="Nirmala UI" w:hAnsi="Nirmala UI" w:cs="Nirmala UI"/>
              </w:rPr>
            </w:pPr>
          </w:p>
          <w:p w14:paraId="14410D0C" w14:textId="3C0B47E2" w:rsidR="00943031" w:rsidRPr="00781187" w:rsidRDefault="00285BA9" w:rsidP="009F4D75">
            <w:pPr>
              <w:jc w:val="center"/>
              <w:rPr>
                <w:rFonts w:ascii="Nirmala UI" w:hAnsi="Nirmala UI" w:cs="Nirmala UI"/>
              </w:rPr>
            </w:pPr>
            <w:r w:rsidRPr="00781187">
              <w:rPr>
                <w:rFonts w:ascii="Nirmala UI" w:hAnsi="Nirmala UI" w:cs="Nirmala UI"/>
              </w:rPr>
              <w:t>Fdo.:</w:t>
            </w:r>
            <w:r w:rsidR="009F4D75" w:rsidRPr="00781187">
              <w:rPr>
                <w:rFonts w:ascii="Nirmala UI" w:hAnsi="Nirmala UI" w:cs="Nirmala UI"/>
              </w:rPr>
              <w:t xml:space="preserve"> </w:t>
            </w:r>
            <w:r w:rsidR="003277F1" w:rsidRPr="00781187">
              <w:rPr>
                <w:rFonts w:ascii="Nirmala UI" w:hAnsi="Nirmala UI" w:cs="Nirmala UI"/>
              </w:rPr>
              <w:t>Antonio Morales Méndez</w:t>
            </w:r>
          </w:p>
          <w:p w14:paraId="4AB41A18" w14:textId="3430C5E2" w:rsidR="000236BE" w:rsidRPr="00781187" w:rsidRDefault="000236BE" w:rsidP="00943031">
            <w:pPr>
              <w:rPr>
                <w:rFonts w:ascii="Nirmala UI" w:hAnsi="Nirmala UI" w:cs="Nirmala UI"/>
              </w:rPr>
            </w:pPr>
          </w:p>
        </w:tc>
      </w:tr>
    </w:tbl>
    <w:p w14:paraId="5117FF11" w14:textId="5E0A2792" w:rsidR="005E7F78" w:rsidRDefault="005E7F78" w:rsidP="00FC46B6">
      <w:pPr>
        <w:autoSpaceDE w:val="0"/>
        <w:autoSpaceDN w:val="0"/>
        <w:adjustRightInd w:val="0"/>
        <w:spacing w:after="0" w:line="240" w:lineRule="auto"/>
        <w:jc w:val="both"/>
        <w:rPr>
          <w:rFonts w:ascii="Nirmala UI" w:hAnsi="Nirmala UI" w:cs="Nirmala UI"/>
        </w:rPr>
      </w:pPr>
    </w:p>
    <w:p w14:paraId="469CF9BC" w14:textId="77777777" w:rsidR="005E7F78" w:rsidRDefault="005E7F78">
      <w:pPr>
        <w:rPr>
          <w:rFonts w:ascii="Nirmala UI" w:hAnsi="Nirmala UI" w:cs="Nirmala UI"/>
        </w:rPr>
      </w:pPr>
      <w:r>
        <w:rPr>
          <w:rFonts w:ascii="Nirmala UI" w:hAnsi="Nirmala UI" w:cs="Nirmala UI"/>
        </w:rPr>
        <w:br w:type="page"/>
      </w:r>
    </w:p>
    <w:tbl>
      <w:tblPr>
        <w:tblStyle w:val="Tablaconcuadrcula"/>
        <w:tblW w:w="8642" w:type="dxa"/>
        <w:tblLook w:val="04A0" w:firstRow="1" w:lastRow="0" w:firstColumn="1" w:lastColumn="0" w:noHBand="0" w:noVBand="1"/>
      </w:tblPr>
      <w:tblGrid>
        <w:gridCol w:w="838"/>
        <w:gridCol w:w="6650"/>
        <w:gridCol w:w="1154"/>
      </w:tblGrid>
      <w:tr w:rsidR="005E7F78" w:rsidRPr="00247755" w14:paraId="0CECFB19" w14:textId="77777777" w:rsidTr="00944A63">
        <w:trPr>
          <w:trHeight w:val="285"/>
        </w:trPr>
        <w:tc>
          <w:tcPr>
            <w:tcW w:w="838" w:type="dxa"/>
            <w:noWrap/>
            <w:hideMark/>
          </w:tcPr>
          <w:p w14:paraId="6DEC1C29" w14:textId="77777777" w:rsidR="005E7F78" w:rsidRPr="00247755" w:rsidRDefault="005E7F78" w:rsidP="002C4AE1">
            <w:bookmarkStart w:id="2" w:name="_Hlk53582532"/>
            <w:r w:rsidRPr="00247755">
              <w:t> </w:t>
            </w:r>
          </w:p>
        </w:tc>
        <w:tc>
          <w:tcPr>
            <w:tcW w:w="6650" w:type="dxa"/>
            <w:noWrap/>
            <w:hideMark/>
          </w:tcPr>
          <w:p w14:paraId="16014171" w14:textId="1E6165A1" w:rsidR="005E7F78" w:rsidRPr="00247755" w:rsidRDefault="005E7F78" w:rsidP="002C4AE1">
            <w:r w:rsidRPr="00247755">
              <w:rPr>
                <w:b/>
                <w:bCs/>
              </w:rPr>
              <w:t>ANEXO DE ACTUACIONES</w:t>
            </w:r>
            <w:r w:rsidRPr="00247755">
              <w:t xml:space="preserve"> </w:t>
            </w:r>
            <w:r>
              <w:t xml:space="preserve"> PLAN DE SOSTENIBILIDAD TURÍSTICA DE PATRIMONIO MUNDIAL Y RESERVA DE LA BIOSFERA DE GRAN CANARIA.</w:t>
            </w:r>
          </w:p>
        </w:tc>
        <w:tc>
          <w:tcPr>
            <w:tcW w:w="1154" w:type="dxa"/>
            <w:noWrap/>
            <w:hideMark/>
          </w:tcPr>
          <w:p w14:paraId="493838EF" w14:textId="77777777" w:rsidR="005E7F78" w:rsidRPr="00247755" w:rsidRDefault="005E7F78" w:rsidP="002C4AE1">
            <w:r w:rsidRPr="00247755">
              <w:t> </w:t>
            </w:r>
          </w:p>
        </w:tc>
      </w:tr>
      <w:tr w:rsidR="005E7F78" w:rsidRPr="00247755" w14:paraId="06B0E939" w14:textId="77777777" w:rsidTr="00944A63">
        <w:trPr>
          <w:trHeight w:val="285"/>
        </w:trPr>
        <w:tc>
          <w:tcPr>
            <w:tcW w:w="838" w:type="dxa"/>
            <w:noWrap/>
            <w:hideMark/>
          </w:tcPr>
          <w:p w14:paraId="7A69B27D" w14:textId="77777777" w:rsidR="005E7F78" w:rsidRPr="00247755" w:rsidRDefault="005E7F78" w:rsidP="002C4AE1">
            <w:r w:rsidRPr="00247755">
              <w:t>OT1-1</w:t>
            </w:r>
          </w:p>
        </w:tc>
        <w:tc>
          <w:tcPr>
            <w:tcW w:w="6650" w:type="dxa"/>
            <w:noWrap/>
            <w:hideMark/>
          </w:tcPr>
          <w:p w14:paraId="43F15F65" w14:textId="77777777" w:rsidR="005E7F78" w:rsidRPr="00247755" w:rsidRDefault="005E7F78" w:rsidP="002C4AE1">
            <w:r w:rsidRPr="00247755">
              <w:t>Senderos de Gran Recorrido (GR) de la Reserva de la Biosfera de Gran Canaria (RBGC) y de Risco Caído (RC) y las Montañas Sagradas de Gran Canaria</w:t>
            </w:r>
          </w:p>
        </w:tc>
        <w:tc>
          <w:tcPr>
            <w:tcW w:w="1154" w:type="dxa"/>
            <w:noWrap/>
            <w:hideMark/>
          </w:tcPr>
          <w:p w14:paraId="1DE57472" w14:textId="77777777" w:rsidR="005E7F78" w:rsidRPr="00247755" w:rsidRDefault="005E7F78" w:rsidP="002C4AE1">
            <w:pPr>
              <w:jc w:val="right"/>
            </w:pPr>
            <w:r w:rsidRPr="00247755">
              <w:t>400,000</w:t>
            </w:r>
          </w:p>
        </w:tc>
      </w:tr>
      <w:tr w:rsidR="005E7F78" w:rsidRPr="00247755" w14:paraId="6FCC37C1" w14:textId="77777777" w:rsidTr="00944A63">
        <w:trPr>
          <w:trHeight w:val="285"/>
        </w:trPr>
        <w:tc>
          <w:tcPr>
            <w:tcW w:w="838" w:type="dxa"/>
            <w:noWrap/>
            <w:hideMark/>
          </w:tcPr>
          <w:p w14:paraId="4BEFDED6" w14:textId="77777777" w:rsidR="005E7F78" w:rsidRPr="00247755" w:rsidRDefault="005E7F78" w:rsidP="002C4AE1">
            <w:r w:rsidRPr="00247755">
              <w:t>OT1-2</w:t>
            </w:r>
          </w:p>
        </w:tc>
        <w:tc>
          <w:tcPr>
            <w:tcW w:w="6650" w:type="dxa"/>
            <w:noWrap/>
            <w:hideMark/>
          </w:tcPr>
          <w:p w14:paraId="4C449B3F" w14:textId="77777777" w:rsidR="005E7F78" w:rsidRPr="00247755" w:rsidRDefault="005E7F78" w:rsidP="002C4AE1">
            <w:r w:rsidRPr="00247755">
              <w:t>Adecuación, Embellecimiento y Puesta en Valor del Paisaje Cultural de Risco Caído y las Montañas Sagradas de Gran Canaria (RCMSGC)</w:t>
            </w:r>
          </w:p>
        </w:tc>
        <w:tc>
          <w:tcPr>
            <w:tcW w:w="1154" w:type="dxa"/>
            <w:noWrap/>
            <w:hideMark/>
          </w:tcPr>
          <w:p w14:paraId="7F04A21D" w14:textId="77777777" w:rsidR="005E7F78" w:rsidRPr="00247755" w:rsidRDefault="005E7F78" w:rsidP="002C4AE1">
            <w:pPr>
              <w:jc w:val="right"/>
            </w:pPr>
            <w:r w:rsidRPr="00247755">
              <w:t>500,000</w:t>
            </w:r>
          </w:p>
        </w:tc>
      </w:tr>
      <w:tr w:rsidR="005E7F78" w:rsidRPr="00247755" w14:paraId="2D8B2E05" w14:textId="77777777" w:rsidTr="00944A63">
        <w:trPr>
          <w:trHeight w:val="285"/>
        </w:trPr>
        <w:tc>
          <w:tcPr>
            <w:tcW w:w="838" w:type="dxa"/>
            <w:noWrap/>
            <w:hideMark/>
          </w:tcPr>
          <w:p w14:paraId="0883E5D2" w14:textId="77777777" w:rsidR="005E7F78" w:rsidRPr="00247755" w:rsidRDefault="005E7F78" w:rsidP="002C4AE1">
            <w:r w:rsidRPr="00247755">
              <w:t>OT1-3</w:t>
            </w:r>
          </w:p>
        </w:tc>
        <w:tc>
          <w:tcPr>
            <w:tcW w:w="6650" w:type="dxa"/>
            <w:noWrap/>
            <w:hideMark/>
          </w:tcPr>
          <w:p w14:paraId="471462C2" w14:textId="77777777" w:rsidR="005E7F78" w:rsidRPr="00247755" w:rsidRDefault="005E7F78" w:rsidP="002C4AE1">
            <w:r w:rsidRPr="00247755">
              <w:t xml:space="preserve">Centro de Gestión del Paisaje Cultural del Patrimonio Mundial </w:t>
            </w:r>
          </w:p>
        </w:tc>
        <w:tc>
          <w:tcPr>
            <w:tcW w:w="1154" w:type="dxa"/>
            <w:noWrap/>
            <w:hideMark/>
          </w:tcPr>
          <w:p w14:paraId="741D9287" w14:textId="77777777" w:rsidR="005E7F78" w:rsidRPr="00247755" w:rsidRDefault="005E7F78" w:rsidP="002C4AE1">
            <w:pPr>
              <w:jc w:val="right"/>
            </w:pPr>
            <w:r w:rsidRPr="00247755">
              <w:t>1,350,000</w:t>
            </w:r>
          </w:p>
        </w:tc>
      </w:tr>
      <w:tr w:rsidR="005E7F78" w:rsidRPr="00247755" w14:paraId="03CBB3F3" w14:textId="77777777" w:rsidTr="00944A63">
        <w:trPr>
          <w:trHeight w:val="285"/>
        </w:trPr>
        <w:tc>
          <w:tcPr>
            <w:tcW w:w="838" w:type="dxa"/>
            <w:noWrap/>
            <w:hideMark/>
          </w:tcPr>
          <w:p w14:paraId="4F713BB9" w14:textId="77777777" w:rsidR="005E7F78" w:rsidRPr="00247755" w:rsidRDefault="005E7F78" w:rsidP="002C4AE1">
            <w:r w:rsidRPr="00247755">
              <w:t>OT2-1</w:t>
            </w:r>
          </w:p>
        </w:tc>
        <w:tc>
          <w:tcPr>
            <w:tcW w:w="6650" w:type="dxa"/>
            <w:noWrap/>
            <w:hideMark/>
          </w:tcPr>
          <w:p w14:paraId="460D141B" w14:textId="77777777" w:rsidR="005E7F78" w:rsidRPr="00247755" w:rsidRDefault="005E7F78" w:rsidP="002C4AE1">
            <w:r w:rsidRPr="00247755">
              <w:t>Desarrollo de portales WEB y de aplicación móvil del Patrimonio Mundial y la Reserva de la Biosfera de Gran Canaria</w:t>
            </w:r>
          </w:p>
        </w:tc>
        <w:tc>
          <w:tcPr>
            <w:tcW w:w="1154" w:type="dxa"/>
            <w:noWrap/>
            <w:hideMark/>
          </w:tcPr>
          <w:p w14:paraId="7EC918DC" w14:textId="77777777" w:rsidR="005E7F78" w:rsidRPr="00247755" w:rsidRDefault="005E7F78" w:rsidP="002C4AE1">
            <w:pPr>
              <w:jc w:val="right"/>
            </w:pPr>
            <w:r w:rsidRPr="00247755">
              <w:t>200,000</w:t>
            </w:r>
          </w:p>
        </w:tc>
      </w:tr>
      <w:tr w:rsidR="005E7F78" w:rsidRPr="00247755" w14:paraId="1A1F810D" w14:textId="77777777" w:rsidTr="00944A63">
        <w:trPr>
          <w:trHeight w:val="285"/>
        </w:trPr>
        <w:tc>
          <w:tcPr>
            <w:tcW w:w="838" w:type="dxa"/>
            <w:noWrap/>
            <w:hideMark/>
          </w:tcPr>
          <w:p w14:paraId="38C326DA" w14:textId="77777777" w:rsidR="005E7F78" w:rsidRPr="00247755" w:rsidRDefault="005E7F78" w:rsidP="002C4AE1">
            <w:r w:rsidRPr="00247755">
              <w:t>OT2-2</w:t>
            </w:r>
          </w:p>
        </w:tc>
        <w:tc>
          <w:tcPr>
            <w:tcW w:w="6650" w:type="dxa"/>
            <w:noWrap/>
            <w:hideMark/>
          </w:tcPr>
          <w:p w14:paraId="31B64E2A" w14:textId="77777777" w:rsidR="005E7F78" w:rsidRPr="00247755" w:rsidRDefault="005E7F78" w:rsidP="002C4AE1">
            <w:r w:rsidRPr="00247755">
              <w:t>Desarrollo de un sistema para el apoyo a la de gestión y preservación de los sitios declarados en el destino</w:t>
            </w:r>
          </w:p>
        </w:tc>
        <w:tc>
          <w:tcPr>
            <w:tcW w:w="1154" w:type="dxa"/>
            <w:noWrap/>
            <w:hideMark/>
          </w:tcPr>
          <w:p w14:paraId="39E17A59" w14:textId="77777777" w:rsidR="005E7F78" w:rsidRPr="00247755" w:rsidRDefault="005E7F78" w:rsidP="002C4AE1">
            <w:pPr>
              <w:jc w:val="right"/>
            </w:pPr>
            <w:r w:rsidRPr="00247755">
              <w:t>200,000</w:t>
            </w:r>
          </w:p>
        </w:tc>
      </w:tr>
      <w:tr w:rsidR="005E7F78" w:rsidRPr="00247755" w14:paraId="3980AA16" w14:textId="77777777" w:rsidTr="00944A63">
        <w:trPr>
          <w:trHeight w:val="285"/>
        </w:trPr>
        <w:tc>
          <w:tcPr>
            <w:tcW w:w="838" w:type="dxa"/>
            <w:noWrap/>
            <w:hideMark/>
          </w:tcPr>
          <w:p w14:paraId="45A68599" w14:textId="77777777" w:rsidR="005E7F78" w:rsidRPr="00247755" w:rsidRDefault="005E7F78" w:rsidP="002C4AE1">
            <w:r w:rsidRPr="00247755">
              <w:t>OT4-1</w:t>
            </w:r>
          </w:p>
        </w:tc>
        <w:tc>
          <w:tcPr>
            <w:tcW w:w="6650" w:type="dxa"/>
            <w:noWrap/>
            <w:hideMark/>
          </w:tcPr>
          <w:p w14:paraId="20600910" w14:textId="77777777" w:rsidR="005E7F78" w:rsidRPr="00247755" w:rsidRDefault="005E7F78" w:rsidP="002C4AE1">
            <w:r w:rsidRPr="00247755">
              <w:t>Oficina técnica de apoyo a la gestión y promoción del Destino</w:t>
            </w:r>
          </w:p>
        </w:tc>
        <w:tc>
          <w:tcPr>
            <w:tcW w:w="1154" w:type="dxa"/>
            <w:noWrap/>
            <w:hideMark/>
          </w:tcPr>
          <w:p w14:paraId="1F48736C" w14:textId="77777777" w:rsidR="005E7F78" w:rsidRPr="00247755" w:rsidRDefault="005E7F78" w:rsidP="002C4AE1">
            <w:pPr>
              <w:jc w:val="right"/>
            </w:pPr>
            <w:r w:rsidRPr="00247755">
              <w:t>150,000</w:t>
            </w:r>
          </w:p>
        </w:tc>
      </w:tr>
      <w:tr w:rsidR="005E7F78" w:rsidRPr="00247755" w14:paraId="198B4B22" w14:textId="77777777" w:rsidTr="00944A63">
        <w:trPr>
          <w:trHeight w:val="285"/>
        </w:trPr>
        <w:tc>
          <w:tcPr>
            <w:tcW w:w="838" w:type="dxa"/>
            <w:noWrap/>
            <w:hideMark/>
          </w:tcPr>
          <w:p w14:paraId="1809DC25" w14:textId="77777777" w:rsidR="005E7F78" w:rsidRPr="00247755" w:rsidRDefault="005E7F78" w:rsidP="002C4AE1">
            <w:r w:rsidRPr="00247755">
              <w:t>OT5-1</w:t>
            </w:r>
          </w:p>
        </w:tc>
        <w:tc>
          <w:tcPr>
            <w:tcW w:w="6650" w:type="dxa"/>
            <w:noWrap/>
            <w:hideMark/>
          </w:tcPr>
          <w:p w14:paraId="4D4F3C3A" w14:textId="77777777" w:rsidR="005E7F78" w:rsidRPr="00247755" w:rsidRDefault="005E7F78" w:rsidP="002C4AE1">
            <w:r w:rsidRPr="00247755">
              <w:t>Impulso, dinamización y revitalización de las producciones de bienes y servicios locales como parte del producto turístico a desarrollar</w:t>
            </w:r>
          </w:p>
        </w:tc>
        <w:tc>
          <w:tcPr>
            <w:tcW w:w="1154" w:type="dxa"/>
            <w:noWrap/>
            <w:hideMark/>
          </w:tcPr>
          <w:p w14:paraId="73C64D2A" w14:textId="77777777" w:rsidR="005E7F78" w:rsidRPr="00247755" w:rsidRDefault="005E7F78" w:rsidP="002C4AE1">
            <w:pPr>
              <w:jc w:val="right"/>
            </w:pPr>
            <w:r w:rsidRPr="00247755">
              <w:t>200,000</w:t>
            </w:r>
          </w:p>
        </w:tc>
      </w:tr>
      <w:tr w:rsidR="005E7F78" w:rsidRPr="00247755" w14:paraId="2B3D8CF3" w14:textId="77777777" w:rsidTr="00944A63">
        <w:trPr>
          <w:trHeight w:val="293"/>
        </w:trPr>
        <w:tc>
          <w:tcPr>
            <w:tcW w:w="838" w:type="dxa"/>
            <w:noWrap/>
            <w:hideMark/>
          </w:tcPr>
          <w:p w14:paraId="0FCE0908" w14:textId="77777777" w:rsidR="005E7F78" w:rsidRPr="00247755" w:rsidRDefault="005E7F78" w:rsidP="002C4AE1">
            <w:r w:rsidRPr="00247755">
              <w:t> </w:t>
            </w:r>
          </w:p>
        </w:tc>
        <w:tc>
          <w:tcPr>
            <w:tcW w:w="6650" w:type="dxa"/>
            <w:noWrap/>
            <w:hideMark/>
          </w:tcPr>
          <w:p w14:paraId="6E3D3BCA" w14:textId="77777777" w:rsidR="005E7F78" w:rsidRPr="00247755" w:rsidRDefault="005E7F78" w:rsidP="002C4AE1">
            <w:pPr>
              <w:rPr>
                <w:b/>
                <w:bCs/>
              </w:rPr>
            </w:pPr>
            <w:r w:rsidRPr="00247755">
              <w:rPr>
                <w:b/>
                <w:bCs/>
              </w:rPr>
              <w:t>Total</w:t>
            </w:r>
          </w:p>
        </w:tc>
        <w:tc>
          <w:tcPr>
            <w:tcW w:w="1154" w:type="dxa"/>
            <w:noWrap/>
            <w:hideMark/>
          </w:tcPr>
          <w:p w14:paraId="3E2BA3F4" w14:textId="77777777" w:rsidR="005E7F78" w:rsidRPr="00247755" w:rsidRDefault="005E7F78" w:rsidP="002C4AE1">
            <w:pPr>
              <w:jc w:val="right"/>
              <w:rPr>
                <w:b/>
                <w:bCs/>
              </w:rPr>
            </w:pPr>
            <w:r w:rsidRPr="00247755">
              <w:rPr>
                <w:b/>
                <w:bCs/>
              </w:rPr>
              <w:t>3,000,000</w:t>
            </w:r>
          </w:p>
        </w:tc>
      </w:tr>
      <w:bookmarkEnd w:id="2"/>
    </w:tbl>
    <w:p w14:paraId="735520CA" w14:textId="77777777" w:rsidR="005E7F78" w:rsidRDefault="005E7F78" w:rsidP="005E7F78"/>
    <w:p w14:paraId="23D7CF69" w14:textId="77777777" w:rsidR="005E7F78" w:rsidRDefault="005E7F78" w:rsidP="005E7F78"/>
    <w:p w14:paraId="1A26D01A" w14:textId="77777777" w:rsidR="00DD0D2A" w:rsidRPr="00781187" w:rsidRDefault="00DD0D2A" w:rsidP="00FC46B6">
      <w:pPr>
        <w:autoSpaceDE w:val="0"/>
        <w:autoSpaceDN w:val="0"/>
        <w:adjustRightInd w:val="0"/>
        <w:spacing w:after="0" w:line="240" w:lineRule="auto"/>
        <w:jc w:val="both"/>
        <w:rPr>
          <w:rFonts w:ascii="Nirmala UI" w:hAnsi="Nirmala UI" w:cs="Nirmala UI"/>
        </w:rPr>
      </w:pPr>
    </w:p>
    <w:sectPr w:rsidR="00DD0D2A" w:rsidRPr="00781187" w:rsidSect="0042328D">
      <w:footerReference w:type="default" r:id="rId12"/>
      <w:pgSz w:w="11906" w:h="16838"/>
      <w:pgMar w:top="1417" w:right="1701" w:bottom="1417"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9EBEE" w14:textId="77777777" w:rsidR="005B549B" w:rsidRDefault="005B549B" w:rsidP="0056607C">
      <w:pPr>
        <w:spacing w:after="0" w:line="240" w:lineRule="auto"/>
      </w:pPr>
      <w:r>
        <w:separator/>
      </w:r>
    </w:p>
  </w:endnote>
  <w:endnote w:type="continuationSeparator" w:id="0">
    <w:p w14:paraId="0784E537" w14:textId="77777777" w:rsidR="005B549B" w:rsidRDefault="005B549B" w:rsidP="0056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104949"/>
      <w:docPartObj>
        <w:docPartGallery w:val="Page Numbers (Bottom of Page)"/>
        <w:docPartUnique/>
      </w:docPartObj>
    </w:sdtPr>
    <w:sdtEndPr>
      <w:rPr>
        <w:rFonts w:ascii="Calisto MT" w:hAnsi="Calisto MT"/>
      </w:rPr>
    </w:sdtEndPr>
    <w:sdtContent>
      <w:p w14:paraId="5534BDB0" w14:textId="492B9BCB" w:rsidR="00176630" w:rsidRPr="00176630" w:rsidRDefault="00176630">
        <w:pPr>
          <w:pStyle w:val="Piedepgina"/>
          <w:jc w:val="center"/>
          <w:rPr>
            <w:rFonts w:ascii="Calisto MT" w:hAnsi="Calisto MT"/>
          </w:rPr>
        </w:pPr>
        <w:r w:rsidRPr="00176630">
          <w:rPr>
            <w:rFonts w:ascii="Calisto MT" w:hAnsi="Calisto MT"/>
          </w:rPr>
          <w:fldChar w:fldCharType="begin"/>
        </w:r>
        <w:r w:rsidRPr="00176630">
          <w:rPr>
            <w:rFonts w:ascii="Calisto MT" w:hAnsi="Calisto MT"/>
          </w:rPr>
          <w:instrText>PAGE   \* MERGEFORMAT</w:instrText>
        </w:r>
        <w:r w:rsidRPr="00176630">
          <w:rPr>
            <w:rFonts w:ascii="Calisto MT" w:hAnsi="Calisto MT"/>
          </w:rPr>
          <w:fldChar w:fldCharType="separate"/>
        </w:r>
        <w:r w:rsidR="000D1C25">
          <w:rPr>
            <w:rFonts w:ascii="Calisto MT" w:hAnsi="Calisto MT"/>
            <w:noProof/>
          </w:rPr>
          <w:t>4</w:t>
        </w:r>
        <w:r w:rsidRPr="00176630">
          <w:rPr>
            <w:rFonts w:ascii="Calisto MT" w:hAnsi="Calisto MT"/>
          </w:rPr>
          <w:fldChar w:fldCharType="end"/>
        </w:r>
      </w:p>
    </w:sdtContent>
  </w:sdt>
  <w:p w14:paraId="259124A8" w14:textId="77777777" w:rsidR="00176630" w:rsidRDefault="001766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6DA1" w14:textId="77777777" w:rsidR="005B549B" w:rsidRDefault="005B549B" w:rsidP="0056607C">
      <w:pPr>
        <w:spacing w:after="0" w:line="240" w:lineRule="auto"/>
      </w:pPr>
      <w:r>
        <w:separator/>
      </w:r>
    </w:p>
  </w:footnote>
  <w:footnote w:type="continuationSeparator" w:id="0">
    <w:p w14:paraId="30D06C9E" w14:textId="77777777" w:rsidR="005B549B" w:rsidRDefault="005B549B" w:rsidP="00566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1429"/>
    <w:multiLevelType w:val="hybridMultilevel"/>
    <w:tmpl w:val="5DC0FF8A"/>
    <w:lvl w:ilvl="0" w:tplc="0C0A000F">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1720290"/>
    <w:multiLevelType w:val="hybridMultilevel"/>
    <w:tmpl w:val="99D0425C"/>
    <w:lvl w:ilvl="0" w:tplc="E5EA066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01388F"/>
    <w:multiLevelType w:val="hybridMultilevel"/>
    <w:tmpl w:val="58DECAC4"/>
    <w:lvl w:ilvl="0" w:tplc="0C0A000F">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90C24B5"/>
    <w:multiLevelType w:val="hybridMultilevel"/>
    <w:tmpl w:val="529ECAC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9C257B8"/>
    <w:multiLevelType w:val="hybridMultilevel"/>
    <w:tmpl w:val="E528D4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D561E7"/>
    <w:multiLevelType w:val="hybridMultilevel"/>
    <w:tmpl w:val="89B4557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CC143DC"/>
    <w:multiLevelType w:val="hybridMultilevel"/>
    <w:tmpl w:val="F9385FA8"/>
    <w:lvl w:ilvl="0" w:tplc="0C0A000F">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CEF3ABF"/>
    <w:multiLevelType w:val="hybridMultilevel"/>
    <w:tmpl w:val="DA6AA9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EE278A4"/>
    <w:multiLevelType w:val="hybridMultilevel"/>
    <w:tmpl w:val="223CAD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27763C9"/>
    <w:multiLevelType w:val="hybridMultilevel"/>
    <w:tmpl w:val="DE98F2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B7E3373"/>
    <w:multiLevelType w:val="hybridMultilevel"/>
    <w:tmpl w:val="F48C3A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E1101AE"/>
    <w:multiLevelType w:val="hybridMultilevel"/>
    <w:tmpl w:val="A94ECA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9D53C1"/>
    <w:multiLevelType w:val="hybridMultilevel"/>
    <w:tmpl w:val="5538DD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21A4CAC"/>
    <w:multiLevelType w:val="hybridMultilevel"/>
    <w:tmpl w:val="C2C6AD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0B6956"/>
    <w:multiLevelType w:val="hybridMultilevel"/>
    <w:tmpl w:val="49BC035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82F1C77"/>
    <w:multiLevelType w:val="hybridMultilevel"/>
    <w:tmpl w:val="E9006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1D37D8"/>
    <w:multiLevelType w:val="hybridMultilevel"/>
    <w:tmpl w:val="B98817C0"/>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4FC47BB"/>
    <w:multiLevelType w:val="hybridMultilevel"/>
    <w:tmpl w:val="ED6E52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7C93E1C"/>
    <w:multiLevelType w:val="hybridMultilevel"/>
    <w:tmpl w:val="8474BB7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57C3CAD"/>
    <w:multiLevelType w:val="hybridMultilevel"/>
    <w:tmpl w:val="38E63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C1675D"/>
    <w:multiLevelType w:val="hybridMultilevel"/>
    <w:tmpl w:val="741E16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9C395B"/>
    <w:multiLevelType w:val="hybridMultilevel"/>
    <w:tmpl w:val="0154333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AF4C53"/>
    <w:multiLevelType w:val="hybridMultilevel"/>
    <w:tmpl w:val="B3241D86"/>
    <w:lvl w:ilvl="0" w:tplc="F44EEF44">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910F9F"/>
    <w:multiLevelType w:val="hybridMultilevel"/>
    <w:tmpl w:val="DA6AA9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4"/>
  </w:num>
  <w:num w:numId="3">
    <w:abstractNumId w:val="10"/>
  </w:num>
  <w:num w:numId="4">
    <w:abstractNumId w:val="23"/>
  </w:num>
  <w:num w:numId="5">
    <w:abstractNumId w:val="2"/>
  </w:num>
  <w:num w:numId="6">
    <w:abstractNumId w:val="6"/>
  </w:num>
  <w:num w:numId="7">
    <w:abstractNumId w:val="0"/>
  </w:num>
  <w:num w:numId="8">
    <w:abstractNumId w:val="9"/>
  </w:num>
  <w:num w:numId="9">
    <w:abstractNumId w:val="18"/>
  </w:num>
  <w:num w:numId="10">
    <w:abstractNumId w:val="22"/>
  </w:num>
  <w:num w:numId="11">
    <w:abstractNumId w:val="1"/>
  </w:num>
  <w:num w:numId="12">
    <w:abstractNumId w:val="13"/>
  </w:num>
  <w:num w:numId="13">
    <w:abstractNumId w:val="16"/>
  </w:num>
  <w:num w:numId="14">
    <w:abstractNumId w:val="17"/>
  </w:num>
  <w:num w:numId="15">
    <w:abstractNumId w:val="3"/>
  </w:num>
  <w:num w:numId="16">
    <w:abstractNumId w:val="8"/>
  </w:num>
  <w:num w:numId="17">
    <w:abstractNumId w:val="12"/>
  </w:num>
  <w:num w:numId="18">
    <w:abstractNumId w:val="19"/>
  </w:num>
  <w:num w:numId="19">
    <w:abstractNumId w:val="4"/>
  </w:num>
  <w:num w:numId="20">
    <w:abstractNumId w:val="11"/>
  </w:num>
  <w:num w:numId="21">
    <w:abstractNumId w:val="15"/>
  </w:num>
  <w:num w:numId="22">
    <w:abstractNumId w:val="20"/>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NDIwMbIwNzAxNrRQ0lEKTi0uzszPAykwrQUAbLqPUywAAAA="/>
  </w:docVars>
  <w:rsids>
    <w:rsidRoot w:val="0056607C"/>
    <w:rsid w:val="000236BE"/>
    <w:rsid w:val="00051E57"/>
    <w:rsid w:val="00056DF6"/>
    <w:rsid w:val="00070407"/>
    <w:rsid w:val="00083694"/>
    <w:rsid w:val="0008717A"/>
    <w:rsid w:val="00094B5C"/>
    <w:rsid w:val="000B4130"/>
    <w:rsid w:val="000B65D9"/>
    <w:rsid w:val="000C6023"/>
    <w:rsid w:val="000D11A8"/>
    <w:rsid w:val="000D1C25"/>
    <w:rsid w:val="000E048F"/>
    <w:rsid w:val="000F1B83"/>
    <w:rsid w:val="00116BC6"/>
    <w:rsid w:val="001432AD"/>
    <w:rsid w:val="00160DDB"/>
    <w:rsid w:val="00161502"/>
    <w:rsid w:val="00174628"/>
    <w:rsid w:val="0017541A"/>
    <w:rsid w:val="001757D3"/>
    <w:rsid w:val="00176630"/>
    <w:rsid w:val="001826F1"/>
    <w:rsid w:val="00184C50"/>
    <w:rsid w:val="001901D6"/>
    <w:rsid w:val="00190A74"/>
    <w:rsid w:val="001959F0"/>
    <w:rsid w:val="00195A84"/>
    <w:rsid w:val="001B4E75"/>
    <w:rsid w:val="001B6FDB"/>
    <w:rsid w:val="001C6988"/>
    <w:rsid w:val="001D5054"/>
    <w:rsid w:val="001E2A59"/>
    <w:rsid w:val="001E4AFB"/>
    <w:rsid w:val="001F7FDE"/>
    <w:rsid w:val="0020201C"/>
    <w:rsid w:val="002274B8"/>
    <w:rsid w:val="00237CB4"/>
    <w:rsid w:val="00250F3B"/>
    <w:rsid w:val="00252058"/>
    <w:rsid w:val="002548B7"/>
    <w:rsid w:val="00257217"/>
    <w:rsid w:val="002601D0"/>
    <w:rsid w:val="002652AD"/>
    <w:rsid w:val="00281E8D"/>
    <w:rsid w:val="00285BA9"/>
    <w:rsid w:val="0029014E"/>
    <w:rsid w:val="0029119E"/>
    <w:rsid w:val="002942C6"/>
    <w:rsid w:val="002A3B2F"/>
    <w:rsid w:val="002F0D20"/>
    <w:rsid w:val="002F40AC"/>
    <w:rsid w:val="002F41A8"/>
    <w:rsid w:val="002F66FF"/>
    <w:rsid w:val="002F6F08"/>
    <w:rsid w:val="002F724D"/>
    <w:rsid w:val="002F7D26"/>
    <w:rsid w:val="003065CF"/>
    <w:rsid w:val="00315242"/>
    <w:rsid w:val="003277F1"/>
    <w:rsid w:val="00331D94"/>
    <w:rsid w:val="0034357F"/>
    <w:rsid w:val="00346589"/>
    <w:rsid w:val="003500F8"/>
    <w:rsid w:val="0035528B"/>
    <w:rsid w:val="00364CF4"/>
    <w:rsid w:val="00365BDF"/>
    <w:rsid w:val="00365EFD"/>
    <w:rsid w:val="003F4E1D"/>
    <w:rsid w:val="003F6A2A"/>
    <w:rsid w:val="003F7276"/>
    <w:rsid w:val="003F762A"/>
    <w:rsid w:val="004127A6"/>
    <w:rsid w:val="00416C74"/>
    <w:rsid w:val="00417A5B"/>
    <w:rsid w:val="004212FE"/>
    <w:rsid w:val="00422C0F"/>
    <w:rsid w:val="0042328D"/>
    <w:rsid w:val="004253AD"/>
    <w:rsid w:val="00430D33"/>
    <w:rsid w:val="00430EEC"/>
    <w:rsid w:val="00440EFD"/>
    <w:rsid w:val="0044148C"/>
    <w:rsid w:val="00447DDD"/>
    <w:rsid w:val="00455FC1"/>
    <w:rsid w:val="00462F06"/>
    <w:rsid w:val="0046317F"/>
    <w:rsid w:val="00487F3B"/>
    <w:rsid w:val="00496C0F"/>
    <w:rsid w:val="004A0F84"/>
    <w:rsid w:val="004B6385"/>
    <w:rsid w:val="004C6040"/>
    <w:rsid w:val="004D614C"/>
    <w:rsid w:val="004E1877"/>
    <w:rsid w:val="004E2589"/>
    <w:rsid w:val="004E53AE"/>
    <w:rsid w:val="004F1717"/>
    <w:rsid w:val="004F4344"/>
    <w:rsid w:val="004F554E"/>
    <w:rsid w:val="004F7474"/>
    <w:rsid w:val="00526AFB"/>
    <w:rsid w:val="00537E1A"/>
    <w:rsid w:val="00551BDB"/>
    <w:rsid w:val="00565CA6"/>
    <w:rsid w:val="0056607C"/>
    <w:rsid w:val="005875D6"/>
    <w:rsid w:val="005919FE"/>
    <w:rsid w:val="005941C5"/>
    <w:rsid w:val="00594F63"/>
    <w:rsid w:val="005B2B26"/>
    <w:rsid w:val="005B549B"/>
    <w:rsid w:val="005D6E4A"/>
    <w:rsid w:val="005E14FB"/>
    <w:rsid w:val="005E7F78"/>
    <w:rsid w:val="005F3311"/>
    <w:rsid w:val="00624452"/>
    <w:rsid w:val="00625225"/>
    <w:rsid w:val="0064163E"/>
    <w:rsid w:val="00663A6C"/>
    <w:rsid w:val="00674B93"/>
    <w:rsid w:val="0068562D"/>
    <w:rsid w:val="006A03FA"/>
    <w:rsid w:val="006A61D6"/>
    <w:rsid w:val="006A77CF"/>
    <w:rsid w:val="006B0674"/>
    <w:rsid w:val="006C5CD4"/>
    <w:rsid w:val="006D068E"/>
    <w:rsid w:val="006E00C3"/>
    <w:rsid w:val="007041B2"/>
    <w:rsid w:val="007110F9"/>
    <w:rsid w:val="007331CF"/>
    <w:rsid w:val="00742FC8"/>
    <w:rsid w:val="00755796"/>
    <w:rsid w:val="00756885"/>
    <w:rsid w:val="00757650"/>
    <w:rsid w:val="00781187"/>
    <w:rsid w:val="007835D3"/>
    <w:rsid w:val="00784714"/>
    <w:rsid w:val="007950C4"/>
    <w:rsid w:val="00796E3B"/>
    <w:rsid w:val="007A0128"/>
    <w:rsid w:val="007B37EE"/>
    <w:rsid w:val="007C2AFF"/>
    <w:rsid w:val="007D4275"/>
    <w:rsid w:val="007E0BFE"/>
    <w:rsid w:val="007E2BA3"/>
    <w:rsid w:val="00807254"/>
    <w:rsid w:val="008145BA"/>
    <w:rsid w:val="008253B9"/>
    <w:rsid w:val="00836F36"/>
    <w:rsid w:val="00845BB0"/>
    <w:rsid w:val="008619B8"/>
    <w:rsid w:val="00865B21"/>
    <w:rsid w:val="0087194C"/>
    <w:rsid w:val="008822B6"/>
    <w:rsid w:val="008B1E9D"/>
    <w:rsid w:val="008D379D"/>
    <w:rsid w:val="008D734E"/>
    <w:rsid w:val="008E1E3A"/>
    <w:rsid w:val="008E59E6"/>
    <w:rsid w:val="008F1A66"/>
    <w:rsid w:val="008F4487"/>
    <w:rsid w:val="009026D7"/>
    <w:rsid w:val="00922F64"/>
    <w:rsid w:val="00937BC1"/>
    <w:rsid w:val="00943031"/>
    <w:rsid w:val="00944A63"/>
    <w:rsid w:val="00945CA5"/>
    <w:rsid w:val="00961C41"/>
    <w:rsid w:val="00976783"/>
    <w:rsid w:val="00991965"/>
    <w:rsid w:val="009A5CC8"/>
    <w:rsid w:val="009A6AB9"/>
    <w:rsid w:val="009B6ED9"/>
    <w:rsid w:val="009D3E59"/>
    <w:rsid w:val="009F4D75"/>
    <w:rsid w:val="00A063C8"/>
    <w:rsid w:val="00A07946"/>
    <w:rsid w:val="00A2516D"/>
    <w:rsid w:val="00A307DC"/>
    <w:rsid w:val="00A37411"/>
    <w:rsid w:val="00A37C4D"/>
    <w:rsid w:val="00A454E8"/>
    <w:rsid w:val="00A602B0"/>
    <w:rsid w:val="00A652A5"/>
    <w:rsid w:val="00A90546"/>
    <w:rsid w:val="00A93340"/>
    <w:rsid w:val="00AA1413"/>
    <w:rsid w:val="00AA2EC4"/>
    <w:rsid w:val="00AA75B6"/>
    <w:rsid w:val="00AC79DE"/>
    <w:rsid w:val="00AF64FC"/>
    <w:rsid w:val="00B003E2"/>
    <w:rsid w:val="00B26015"/>
    <w:rsid w:val="00B43EC1"/>
    <w:rsid w:val="00B47E68"/>
    <w:rsid w:val="00B80AB3"/>
    <w:rsid w:val="00B84C30"/>
    <w:rsid w:val="00B93FBC"/>
    <w:rsid w:val="00BA1BEB"/>
    <w:rsid w:val="00BA65F2"/>
    <w:rsid w:val="00BA7AF0"/>
    <w:rsid w:val="00BB2A06"/>
    <w:rsid w:val="00BB77C8"/>
    <w:rsid w:val="00BC52F9"/>
    <w:rsid w:val="00BC54CF"/>
    <w:rsid w:val="00BD53B6"/>
    <w:rsid w:val="00BE6E07"/>
    <w:rsid w:val="00BF1595"/>
    <w:rsid w:val="00BF266A"/>
    <w:rsid w:val="00C21566"/>
    <w:rsid w:val="00C5383F"/>
    <w:rsid w:val="00C55601"/>
    <w:rsid w:val="00C568C7"/>
    <w:rsid w:val="00C56F19"/>
    <w:rsid w:val="00C61BC8"/>
    <w:rsid w:val="00C716C4"/>
    <w:rsid w:val="00C723CB"/>
    <w:rsid w:val="00C7582B"/>
    <w:rsid w:val="00C812F0"/>
    <w:rsid w:val="00C840E0"/>
    <w:rsid w:val="00C9333F"/>
    <w:rsid w:val="00CC100A"/>
    <w:rsid w:val="00CC7736"/>
    <w:rsid w:val="00CD1308"/>
    <w:rsid w:val="00CD2AA8"/>
    <w:rsid w:val="00CE42CA"/>
    <w:rsid w:val="00CE7186"/>
    <w:rsid w:val="00CF010B"/>
    <w:rsid w:val="00CF4A02"/>
    <w:rsid w:val="00D04272"/>
    <w:rsid w:val="00D307DF"/>
    <w:rsid w:val="00D33393"/>
    <w:rsid w:val="00D416BC"/>
    <w:rsid w:val="00D4769B"/>
    <w:rsid w:val="00D61904"/>
    <w:rsid w:val="00D659FB"/>
    <w:rsid w:val="00D67907"/>
    <w:rsid w:val="00D7316D"/>
    <w:rsid w:val="00DB07B4"/>
    <w:rsid w:val="00DB38BE"/>
    <w:rsid w:val="00DD0D2A"/>
    <w:rsid w:val="00DD3026"/>
    <w:rsid w:val="00DE119C"/>
    <w:rsid w:val="00DE1F81"/>
    <w:rsid w:val="00DE3A93"/>
    <w:rsid w:val="00DE3CD1"/>
    <w:rsid w:val="00DE7FF8"/>
    <w:rsid w:val="00DF7BD1"/>
    <w:rsid w:val="00E211D2"/>
    <w:rsid w:val="00E30FD7"/>
    <w:rsid w:val="00E33F87"/>
    <w:rsid w:val="00E379E1"/>
    <w:rsid w:val="00E570DD"/>
    <w:rsid w:val="00E64787"/>
    <w:rsid w:val="00E71057"/>
    <w:rsid w:val="00E816F8"/>
    <w:rsid w:val="00E83730"/>
    <w:rsid w:val="00E8455D"/>
    <w:rsid w:val="00E9656E"/>
    <w:rsid w:val="00EB6097"/>
    <w:rsid w:val="00EC0AA3"/>
    <w:rsid w:val="00ED0009"/>
    <w:rsid w:val="00ED61E8"/>
    <w:rsid w:val="00EE0F05"/>
    <w:rsid w:val="00EE386F"/>
    <w:rsid w:val="00EF199B"/>
    <w:rsid w:val="00F03C53"/>
    <w:rsid w:val="00F10D34"/>
    <w:rsid w:val="00F1646B"/>
    <w:rsid w:val="00F16802"/>
    <w:rsid w:val="00F418D8"/>
    <w:rsid w:val="00F521A0"/>
    <w:rsid w:val="00F600FA"/>
    <w:rsid w:val="00F64EFE"/>
    <w:rsid w:val="00F7682C"/>
    <w:rsid w:val="00F806FE"/>
    <w:rsid w:val="00F8091E"/>
    <w:rsid w:val="00F90DC3"/>
    <w:rsid w:val="00F94ADD"/>
    <w:rsid w:val="00FA38D5"/>
    <w:rsid w:val="00FB0CD4"/>
    <w:rsid w:val="00FB4BC6"/>
    <w:rsid w:val="00FC1689"/>
    <w:rsid w:val="00FC32D9"/>
    <w:rsid w:val="00FC46B6"/>
    <w:rsid w:val="00FD130F"/>
    <w:rsid w:val="00FD2751"/>
    <w:rsid w:val="00FE53EC"/>
    <w:rsid w:val="00FF4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64B7D"/>
  <w15:chartTrackingRefBased/>
  <w15:docId w15:val="{1071BAB3-7C7A-49D3-969C-AE201D26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A652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BC54C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6607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660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07C"/>
  </w:style>
  <w:style w:type="paragraph" w:styleId="Piedepgina">
    <w:name w:val="footer"/>
    <w:basedOn w:val="Normal"/>
    <w:link w:val="PiedepginaCar"/>
    <w:uiPriority w:val="99"/>
    <w:unhideWhenUsed/>
    <w:rsid w:val="005660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07C"/>
  </w:style>
  <w:style w:type="paragraph" w:customStyle="1" w:styleId="Pa6">
    <w:name w:val="Pa6"/>
    <w:basedOn w:val="Default"/>
    <w:next w:val="Default"/>
    <w:uiPriority w:val="99"/>
    <w:rsid w:val="0056607C"/>
    <w:pPr>
      <w:spacing w:line="201" w:lineRule="atLeast"/>
    </w:pPr>
    <w:rPr>
      <w:color w:val="auto"/>
    </w:rPr>
  </w:style>
  <w:style w:type="paragraph" w:styleId="Prrafodelista">
    <w:name w:val="List Paragraph"/>
    <w:aliases w:val="Arial 8,List Paragraph,List Paragraph1,Normal N3,Gráfico Título,Párrafo 1,Párrafo"/>
    <w:basedOn w:val="Normal"/>
    <w:link w:val="PrrafodelistaCar"/>
    <w:uiPriority w:val="34"/>
    <w:qFormat/>
    <w:rsid w:val="00AC79DE"/>
    <w:pPr>
      <w:ind w:left="720"/>
      <w:contextualSpacing/>
    </w:pPr>
  </w:style>
  <w:style w:type="paragraph" w:customStyle="1" w:styleId="parrafo2">
    <w:name w:val="parrafo_2"/>
    <w:basedOn w:val="Normal"/>
    <w:rsid w:val="00EC0AA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EC0AA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7">
    <w:name w:val="Pa7"/>
    <w:basedOn w:val="Default"/>
    <w:next w:val="Default"/>
    <w:uiPriority w:val="99"/>
    <w:rsid w:val="00D04272"/>
    <w:pPr>
      <w:spacing w:line="201" w:lineRule="atLeast"/>
    </w:pPr>
    <w:rPr>
      <w:color w:val="auto"/>
    </w:rPr>
  </w:style>
  <w:style w:type="paragraph" w:styleId="Sinespaciado">
    <w:name w:val="No Spacing"/>
    <w:uiPriority w:val="1"/>
    <w:qFormat/>
    <w:rsid w:val="00D659FB"/>
    <w:pPr>
      <w:spacing w:after="0" w:line="240" w:lineRule="auto"/>
    </w:pPr>
  </w:style>
  <w:style w:type="paragraph" w:customStyle="1" w:styleId="Pa15">
    <w:name w:val="Pa15"/>
    <w:basedOn w:val="Default"/>
    <w:next w:val="Default"/>
    <w:uiPriority w:val="99"/>
    <w:rsid w:val="00D659FB"/>
    <w:pPr>
      <w:spacing w:line="201" w:lineRule="atLeast"/>
    </w:pPr>
    <w:rPr>
      <w:color w:val="auto"/>
    </w:rPr>
  </w:style>
  <w:style w:type="character" w:customStyle="1" w:styleId="Ttulo3Car">
    <w:name w:val="Título 3 Car"/>
    <w:basedOn w:val="Fuentedeprrafopredeter"/>
    <w:link w:val="Ttulo3"/>
    <w:uiPriority w:val="9"/>
    <w:rsid w:val="00BC54CF"/>
    <w:rPr>
      <w:rFonts w:ascii="Times New Roman" w:eastAsia="Times New Roman" w:hAnsi="Times New Roman" w:cs="Times New Roman"/>
      <w:b/>
      <w:bCs/>
      <w:sz w:val="27"/>
      <w:szCs w:val="27"/>
      <w:lang w:eastAsia="es-ES"/>
    </w:rPr>
  </w:style>
  <w:style w:type="character" w:styleId="Refdecomentario">
    <w:name w:val="annotation reference"/>
    <w:basedOn w:val="Fuentedeprrafopredeter"/>
    <w:uiPriority w:val="99"/>
    <w:semiHidden/>
    <w:unhideWhenUsed/>
    <w:rsid w:val="00A2516D"/>
    <w:rPr>
      <w:sz w:val="16"/>
      <w:szCs w:val="16"/>
    </w:rPr>
  </w:style>
  <w:style w:type="paragraph" w:styleId="Textocomentario">
    <w:name w:val="annotation text"/>
    <w:basedOn w:val="Normal"/>
    <w:link w:val="TextocomentarioCar"/>
    <w:uiPriority w:val="99"/>
    <w:semiHidden/>
    <w:unhideWhenUsed/>
    <w:rsid w:val="00A251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516D"/>
    <w:rPr>
      <w:sz w:val="20"/>
      <w:szCs w:val="20"/>
    </w:rPr>
  </w:style>
  <w:style w:type="paragraph" w:styleId="Asuntodelcomentario">
    <w:name w:val="annotation subject"/>
    <w:basedOn w:val="Textocomentario"/>
    <w:next w:val="Textocomentario"/>
    <w:link w:val="AsuntodelcomentarioCar"/>
    <w:uiPriority w:val="99"/>
    <w:semiHidden/>
    <w:unhideWhenUsed/>
    <w:rsid w:val="00A2516D"/>
    <w:rPr>
      <w:b/>
      <w:bCs/>
    </w:rPr>
  </w:style>
  <w:style w:type="character" w:customStyle="1" w:styleId="AsuntodelcomentarioCar">
    <w:name w:val="Asunto del comentario Car"/>
    <w:basedOn w:val="TextocomentarioCar"/>
    <w:link w:val="Asuntodelcomentario"/>
    <w:uiPriority w:val="99"/>
    <w:semiHidden/>
    <w:rsid w:val="00A2516D"/>
    <w:rPr>
      <w:b/>
      <w:bCs/>
      <w:sz w:val="20"/>
      <w:szCs w:val="20"/>
    </w:rPr>
  </w:style>
  <w:style w:type="paragraph" w:styleId="Textodeglobo">
    <w:name w:val="Balloon Text"/>
    <w:basedOn w:val="Normal"/>
    <w:link w:val="TextodegloboCar"/>
    <w:uiPriority w:val="99"/>
    <w:semiHidden/>
    <w:unhideWhenUsed/>
    <w:rsid w:val="00A25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516D"/>
    <w:rPr>
      <w:rFonts w:ascii="Segoe UI" w:hAnsi="Segoe UI" w:cs="Segoe UI"/>
      <w:sz w:val="18"/>
      <w:szCs w:val="18"/>
    </w:rPr>
  </w:style>
  <w:style w:type="table" w:styleId="Tablaconcuadrcula">
    <w:name w:val="Table Grid"/>
    <w:basedOn w:val="Tablanormal"/>
    <w:uiPriority w:val="39"/>
    <w:rsid w:val="0042328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652A5"/>
    <w:rPr>
      <w:rFonts w:asciiTheme="majorHAnsi" w:eastAsiaTheme="majorEastAsia" w:hAnsiTheme="majorHAnsi" w:cstheme="majorBidi"/>
      <w:color w:val="2E74B5" w:themeColor="accent1" w:themeShade="BF"/>
      <w:sz w:val="26"/>
      <w:szCs w:val="26"/>
    </w:rPr>
  </w:style>
  <w:style w:type="paragraph" w:customStyle="1" w:styleId="Contingutdelataula">
    <w:name w:val="Contingut de la taula"/>
    <w:basedOn w:val="Normal"/>
    <w:rsid w:val="00A652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PrrafodelistaCar">
    <w:name w:val="Párrafo de lista Car"/>
    <w:aliases w:val="Arial 8 Car,List Paragraph Car,List Paragraph1 Car,Normal N3 Car,Gráfico Título Car,Párrafo 1 Car,Párrafo Car"/>
    <w:link w:val="Prrafodelista"/>
    <w:uiPriority w:val="34"/>
    <w:rsid w:val="00A93340"/>
  </w:style>
  <w:style w:type="paragraph" w:styleId="Revisin">
    <w:name w:val="Revision"/>
    <w:hidden/>
    <w:uiPriority w:val="99"/>
    <w:semiHidden/>
    <w:rsid w:val="000C6023"/>
    <w:pPr>
      <w:spacing w:after="0" w:line="240" w:lineRule="auto"/>
    </w:pPr>
  </w:style>
  <w:style w:type="paragraph" w:customStyle="1" w:styleId="Standard">
    <w:name w:val="Standard"/>
    <w:rsid w:val="00F16802"/>
    <w:pPr>
      <w:suppressAutoHyphens/>
      <w:autoSpaceDN w:val="0"/>
      <w:spacing w:after="0" w:line="240" w:lineRule="auto"/>
    </w:pPr>
    <w:rPr>
      <w:rFonts w:ascii="Times New Roman" w:eastAsia="Times New Roman" w:hAnsi="Times New Roman" w:cs="Times New Roman"/>
      <w:color w:val="00000A"/>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984">
      <w:bodyDiv w:val="1"/>
      <w:marLeft w:val="0"/>
      <w:marRight w:val="0"/>
      <w:marTop w:val="0"/>
      <w:marBottom w:val="0"/>
      <w:divBdr>
        <w:top w:val="none" w:sz="0" w:space="0" w:color="auto"/>
        <w:left w:val="none" w:sz="0" w:space="0" w:color="auto"/>
        <w:bottom w:val="none" w:sz="0" w:space="0" w:color="auto"/>
        <w:right w:val="none" w:sz="0" w:space="0" w:color="auto"/>
      </w:divBdr>
    </w:div>
    <w:div w:id="86080490">
      <w:bodyDiv w:val="1"/>
      <w:marLeft w:val="0"/>
      <w:marRight w:val="0"/>
      <w:marTop w:val="0"/>
      <w:marBottom w:val="0"/>
      <w:divBdr>
        <w:top w:val="none" w:sz="0" w:space="0" w:color="auto"/>
        <w:left w:val="none" w:sz="0" w:space="0" w:color="auto"/>
        <w:bottom w:val="none" w:sz="0" w:space="0" w:color="auto"/>
        <w:right w:val="none" w:sz="0" w:space="0" w:color="auto"/>
      </w:divBdr>
    </w:div>
    <w:div w:id="301469019">
      <w:bodyDiv w:val="1"/>
      <w:marLeft w:val="0"/>
      <w:marRight w:val="0"/>
      <w:marTop w:val="0"/>
      <w:marBottom w:val="0"/>
      <w:divBdr>
        <w:top w:val="none" w:sz="0" w:space="0" w:color="auto"/>
        <w:left w:val="none" w:sz="0" w:space="0" w:color="auto"/>
        <w:bottom w:val="none" w:sz="0" w:space="0" w:color="auto"/>
        <w:right w:val="none" w:sz="0" w:space="0" w:color="auto"/>
      </w:divBdr>
    </w:div>
    <w:div w:id="376010927">
      <w:bodyDiv w:val="1"/>
      <w:marLeft w:val="0"/>
      <w:marRight w:val="0"/>
      <w:marTop w:val="0"/>
      <w:marBottom w:val="0"/>
      <w:divBdr>
        <w:top w:val="none" w:sz="0" w:space="0" w:color="auto"/>
        <w:left w:val="none" w:sz="0" w:space="0" w:color="auto"/>
        <w:bottom w:val="none" w:sz="0" w:space="0" w:color="auto"/>
        <w:right w:val="none" w:sz="0" w:space="0" w:color="auto"/>
      </w:divBdr>
    </w:div>
    <w:div w:id="401568071">
      <w:bodyDiv w:val="1"/>
      <w:marLeft w:val="0"/>
      <w:marRight w:val="0"/>
      <w:marTop w:val="0"/>
      <w:marBottom w:val="0"/>
      <w:divBdr>
        <w:top w:val="none" w:sz="0" w:space="0" w:color="auto"/>
        <w:left w:val="none" w:sz="0" w:space="0" w:color="auto"/>
        <w:bottom w:val="none" w:sz="0" w:space="0" w:color="auto"/>
        <w:right w:val="none" w:sz="0" w:space="0" w:color="auto"/>
      </w:divBdr>
    </w:div>
    <w:div w:id="497497242">
      <w:bodyDiv w:val="1"/>
      <w:marLeft w:val="0"/>
      <w:marRight w:val="0"/>
      <w:marTop w:val="0"/>
      <w:marBottom w:val="0"/>
      <w:divBdr>
        <w:top w:val="none" w:sz="0" w:space="0" w:color="auto"/>
        <w:left w:val="none" w:sz="0" w:space="0" w:color="auto"/>
        <w:bottom w:val="none" w:sz="0" w:space="0" w:color="auto"/>
        <w:right w:val="none" w:sz="0" w:space="0" w:color="auto"/>
      </w:divBdr>
    </w:div>
    <w:div w:id="570506250">
      <w:bodyDiv w:val="1"/>
      <w:marLeft w:val="0"/>
      <w:marRight w:val="0"/>
      <w:marTop w:val="0"/>
      <w:marBottom w:val="0"/>
      <w:divBdr>
        <w:top w:val="none" w:sz="0" w:space="0" w:color="auto"/>
        <w:left w:val="none" w:sz="0" w:space="0" w:color="auto"/>
        <w:bottom w:val="none" w:sz="0" w:space="0" w:color="auto"/>
        <w:right w:val="none" w:sz="0" w:space="0" w:color="auto"/>
      </w:divBdr>
    </w:div>
    <w:div w:id="1389916096">
      <w:bodyDiv w:val="1"/>
      <w:marLeft w:val="0"/>
      <w:marRight w:val="0"/>
      <w:marTop w:val="0"/>
      <w:marBottom w:val="0"/>
      <w:divBdr>
        <w:top w:val="none" w:sz="0" w:space="0" w:color="auto"/>
        <w:left w:val="none" w:sz="0" w:space="0" w:color="auto"/>
        <w:bottom w:val="none" w:sz="0" w:space="0" w:color="auto"/>
        <w:right w:val="none" w:sz="0" w:space="0" w:color="auto"/>
      </w:divBdr>
    </w:div>
    <w:div w:id="1441726912">
      <w:bodyDiv w:val="1"/>
      <w:marLeft w:val="0"/>
      <w:marRight w:val="0"/>
      <w:marTop w:val="0"/>
      <w:marBottom w:val="0"/>
      <w:divBdr>
        <w:top w:val="none" w:sz="0" w:space="0" w:color="auto"/>
        <w:left w:val="none" w:sz="0" w:space="0" w:color="auto"/>
        <w:bottom w:val="none" w:sz="0" w:space="0" w:color="auto"/>
        <w:right w:val="none" w:sz="0" w:space="0" w:color="auto"/>
      </w:divBdr>
    </w:div>
    <w:div w:id="1943488963">
      <w:bodyDiv w:val="1"/>
      <w:marLeft w:val="0"/>
      <w:marRight w:val="0"/>
      <w:marTop w:val="0"/>
      <w:marBottom w:val="0"/>
      <w:divBdr>
        <w:top w:val="none" w:sz="0" w:space="0" w:color="auto"/>
        <w:left w:val="none" w:sz="0" w:space="0" w:color="auto"/>
        <w:bottom w:val="none" w:sz="0" w:space="0" w:color="auto"/>
        <w:right w:val="none" w:sz="0" w:space="0" w:color="auto"/>
      </w:divBdr>
    </w:div>
    <w:div w:id="2048143488">
      <w:bodyDiv w:val="1"/>
      <w:marLeft w:val="0"/>
      <w:marRight w:val="0"/>
      <w:marTop w:val="0"/>
      <w:marBottom w:val="0"/>
      <w:divBdr>
        <w:top w:val="none" w:sz="0" w:space="0" w:color="auto"/>
        <w:left w:val="none" w:sz="0" w:space="0" w:color="auto"/>
        <w:bottom w:val="none" w:sz="0" w:space="0" w:color="auto"/>
        <w:right w:val="none" w:sz="0" w:space="0" w:color="auto"/>
      </w:divBdr>
    </w:div>
    <w:div w:id="21024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08811-D11A-441D-B662-F700046B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6044</Words>
  <Characters>33246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Minetur</Company>
  <LinksUpToDate>false</LinksUpToDate>
  <CharactersWithSpaces>39212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Toledo, Irene</dc:creator>
  <cp:keywords/>
  <dc:description/>
  <cp:lastModifiedBy>Africa Noelia Torres Perez</cp:lastModifiedBy>
  <cp:revision>2</cp:revision>
  <cp:lastPrinted>2020-07-16T10:03:00Z</cp:lastPrinted>
  <dcterms:created xsi:type="dcterms:W3CDTF">2020-11-13T12:29:00Z</dcterms:created>
  <dcterms:modified xsi:type="dcterms:W3CDTF">2020-11-13T12:29:00Z</dcterms:modified>
</cp:coreProperties>
</file>